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FFCB6" w14:textId="77777777" w:rsidR="00B44167" w:rsidRPr="00876C9F" w:rsidRDefault="00B44167" w:rsidP="00B44167"/>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402"/>
        <w:gridCol w:w="1978"/>
        <w:gridCol w:w="587"/>
        <w:gridCol w:w="2372"/>
      </w:tblGrid>
      <w:tr w:rsidR="00B44167" w14:paraId="263CA758" w14:textId="77777777" w:rsidTr="00137D16">
        <w:trPr>
          <w:trHeight w:val="3386"/>
        </w:trPr>
        <w:tc>
          <w:tcPr>
            <w:tcW w:w="584" w:type="dxa"/>
          </w:tcPr>
          <w:p w14:paraId="324ED578" w14:textId="77777777" w:rsidR="00B44167" w:rsidRDefault="00B44167" w:rsidP="00B44167"/>
        </w:tc>
        <w:tc>
          <w:tcPr>
            <w:tcW w:w="4402" w:type="dxa"/>
          </w:tcPr>
          <w:p w14:paraId="1560201B" w14:textId="6817D7A5" w:rsidR="00B44167" w:rsidRDefault="00210B70" w:rsidP="00B44167">
            <w:r>
              <w:rPr>
                <w:noProof/>
                <w:lang w:eastAsia="en-GB"/>
              </w:rPr>
              <mc:AlternateContent>
                <mc:Choice Requires="wps">
                  <w:drawing>
                    <wp:anchor distT="45720" distB="45720" distL="114300" distR="114300" simplePos="0" relativeHeight="251668480" behindDoc="0" locked="0" layoutInCell="1" allowOverlap="1" wp14:anchorId="75B8D12B" wp14:editId="4E3D64F8">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833CB1" w14:textId="6A37FA28" w:rsidR="00210B70" w:rsidRDefault="0029398B">
                                  <w:r w:rsidRPr="0029398B">
                                    <w:rPr>
                                      <w:noProof/>
                                      <w:lang w:eastAsia="en-GB"/>
                                    </w:rPr>
                                    <w:drawing>
                                      <wp:inline distT="0" distB="0" distL="0" distR="0" wp14:anchorId="658F1DFE" wp14:editId="02BD0BC5">
                                        <wp:extent cx="2443480" cy="712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480" cy="71246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B8D12B"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848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64833CB1" w14:textId="6A37FA28" w:rsidR="00210B70" w:rsidRDefault="0029398B">
                            <w:r w:rsidRPr="0029398B">
                              <w:rPr>
                                <w:noProof/>
                                <w:lang w:eastAsia="en-GB"/>
                              </w:rPr>
                              <w:drawing>
                                <wp:inline distT="0" distB="0" distL="0" distR="0" wp14:anchorId="658F1DFE" wp14:editId="02BD0BC5">
                                  <wp:extent cx="2443480" cy="712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480" cy="712462"/>
                                          </a:xfrm>
                                          <a:prstGeom prst="rect">
                                            <a:avLst/>
                                          </a:prstGeom>
                                          <a:noFill/>
                                          <a:ln>
                                            <a:noFill/>
                                          </a:ln>
                                        </pic:spPr>
                                      </pic:pic>
                                    </a:graphicData>
                                  </a:graphic>
                                </wp:inline>
                              </w:drawing>
                            </w:r>
                          </w:p>
                        </w:txbxContent>
                      </v:textbox>
                      <w10:wrap type="square"/>
                    </v:shape>
                  </w:pict>
                </mc:Fallback>
              </mc:AlternateContent>
            </w:r>
          </w:p>
        </w:tc>
        <w:tc>
          <w:tcPr>
            <w:tcW w:w="1978" w:type="dxa"/>
          </w:tcPr>
          <w:p w14:paraId="23BC788A" w14:textId="77777777" w:rsidR="00B44167" w:rsidRDefault="00B44167" w:rsidP="00B44167"/>
        </w:tc>
        <w:tc>
          <w:tcPr>
            <w:tcW w:w="2959" w:type="dxa"/>
            <w:gridSpan w:val="2"/>
          </w:tcPr>
          <w:p w14:paraId="1068F99D" w14:textId="0F1FE987" w:rsidR="00B44167" w:rsidRDefault="00B44167" w:rsidP="00B44167">
            <w:r w:rsidRPr="00876C9F">
              <w:rPr>
                <w:noProof/>
                <w:lang w:eastAsia="en-GB"/>
              </w:rPr>
              <w:drawing>
                <wp:anchor distT="0" distB="0" distL="114300" distR="114300" simplePos="0" relativeHeight="251666432" behindDoc="0" locked="0" layoutInCell="1" allowOverlap="1" wp14:anchorId="2166CF6C" wp14:editId="0030180A">
                  <wp:simplePos x="0" y="0"/>
                  <wp:positionH relativeFrom="column">
                    <wp:posOffset>265597</wp:posOffset>
                  </wp:positionH>
                  <wp:positionV relativeFrom="page">
                    <wp:posOffset>161290</wp:posOffset>
                  </wp:positionV>
                  <wp:extent cx="1466850" cy="1829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829435"/>
                          </a:xfrm>
                          <a:prstGeom prst="rect">
                            <a:avLst/>
                          </a:prstGeom>
                          <a:noFill/>
                          <a:ln>
                            <a:noFill/>
                          </a:ln>
                        </pic:spPr>
                      </pic:pic>
                    </a:graphicData>
                  </a:graphic>
                </wp:anchor>
              </w:drawing>
            </w:r>
          </w:p>
        </w:tc>
      </w:tr>
      <w:tr w:rsidR="00B44167" w14:paraId="36CFFBA6" w14:textId="77777777" w:rsidTr="00B44167">
        <w:trPr>
          <w:trHeight w:val="2835"/>
        </w:trPr>
        <w:tc>
          <w:tcPr>
            <w:tcW w:w="9923" w:type="dxa"/>
            <w:gridSpan w:val="5"/>
          </w:tcPr>
          <w:p w14:paraId="7FECB45B" w14:textId="77777777" w:rsidR="00B44167" w:rsidRPr="00876C9F" w:rsidRDefault="00B44167" w:rsidP="00B44167"/>
        </w:tc>
      </w:tr>
      <w:tr w:rsidR="00B44167" w14:paraId="0EEE287C" w14:textId="77777777" w:rsidTr="00B44167">
        <w:tc>
          <w:tcPr>
            <w:tcW w:w="9923" w:type="dxa"/>
            <w:gridSpan w:val="5"/>
          </w:tcPr>
          <w:p w14:paraId="63F5DB0E" w14:textId="77777777" w:rsidR="00B44167" w:rsidRPr="00876C9F" w:rsidRDefault="00B44167" w:rsidP="00B44167">
            <w:pPr>
              <w:autoSpaceDE w:val="0"/>
              <w:autoSpaceDN w:val="0"/>
              <w:adjustRightInd w:val="0"/>
              <w:spacing w:before="0" w:after="0"/>
              <w:jc w:val="right"/>
              <w:rPr>
                <w:rFonts w:cs="Calibri-Bold"/>
                <w:b/>
                <w:bCs/>
                <w:color w:val="000000"/>
                <w:sz w:val="36"/>
                <w:szCs w:val="36"/>
              </w:rPr>
            </w:pPr>
          </w:p>
          <w:p w14:paraId="69E19A6D" w14:textId="7647D649" w:rsidR="00B44167" w:rsidRPr="00D07A72" w:rsidRDefault="004A0AA1" w:rsidP="003B3A71">
            <w:pPr>
              <w:autoSpaceDE w:val="0"/>
              <w:autoSpaceDN w:val="0"/>
              <w:adjustRightInd w:val="0"/>
              <w:spacing w:before="0" w:after="0"/>
              <w:jc w:val="right"/>
              <w:rPr>
                <w:rFonts w:cs="Calibri-Bold"/>
                <w:b/>
                <w:bCs/>
                <w:sz w:val="36"/>
                <w:szCs w:val="36"/>
              </w:rPr>
            </w:pPr>
            <w:r>
              <w:rPr>
                <w:rFonts w:cs="Calibri-Bold"/>
                <w:b/>
                <w:bCs/>
                <w:sz w:val="36"/>
                <w:szCs w:val="36"/>
              </w:rPr>
              <w:t>Brambles Primary Academy</w:t>
            </w:r>
            <w:r w:rsidR="00210B70">
              <w:rPr>
                <w:rFonts w:cs="Calibri-Bold"/>
                <w:b/>
                <w:bCs/>
                <w:sz w:val="36"/>
                <w:szCs w:val="36"/>
              </w:rPr>
              <w:t xml:space="preserve"> </w:t>
            </w:r>
            <w:r w:rsidR="00145EAA">
              <w:rPr>
                <w:rFonts w:cs="Calibri-Bold"/>
                <w:b/>
                <w:bCs/>
                <w:sz w:val="36"/>
                <w:szCs w:val="36"/>
              </w:rPr>
              <w:t xml:space="preserve">Admissions Policy </w:t>
            </w:r>
            <w:r w:rsidR="00E311F9">
              <w:rPr>
                <w:rFonts w:cs="Calibri-Bold"/>
                <w:b/>
                <w:bCs/>
                <w:sz w:val="36"/>
                <w:szCs w:val="36"/>
              </w:rPr>
              <w:t>20</w:t>
            </w:r>
            <w:r w:rsidR="003B3A71">
              <w:rPr>
                <w:rFonts w:cs="Calibri-Bold"/>
                <w:b/>
                <w:bCs/>
                <w:sz w:val="36"/>
                <w:szCs w:val="36"/>
              </w:rPr>
              <w:t>21</w:t>
            </w:r>
            <w:r w:rsidR="00F3358E">
              <w:rPr>
                <w:rFonts w:cs="Calibri-Bold"/>
                <w:b/>
                <w:bCs/>
                <w:sz w:val="36"/>
                <w:szCs w:val="36"/>
              </w:rPr>
              <w:t>/</w:t>
            </w:r>
            <w:r w:rsidR="003B3A71">
              <w:rPr>
                <w:rFonts w:cs="Calibri-Bold"/>
                <w:b/>
                <w:bCs/>
                <w:sz w:val="36"/>
                <w:szCs w:val="36"/>
              </w:rPr>
              <w:t>22</w:t>
            </w:r>
          </w:p>
        </w:tc>
      </w:tr>
      <w:tr w:rsidR="00B44167" w14:paraId="7DE75F88" w14:textId="77777777" w:rsidTr="00B44167">
        <w:tc>
          <w:tcPr>
            <w:tcW w:w="9923" w:type="dxa"/>
            <w:gridSpan w:val="5"/>
          </w:tcPr>
          <w:p w14:paraId="6193CB33" w14:textId="77777777" w:rsidR="00B44167" w:rsidRDefault="00B44167" w:rsidP="00B44167">
            <w:pPr>
              <w:spacing w:before="0" w:after="0"/>
              <w:jc w:val="right"/>
            </w:pPr>
            <w:r w:rsidRPr="00876C9F">
              <w:rPr>
                <w:rFonts w:cs="Arial"/>
                <w:b/>
                <w:bCs/>
                <w:color w:val="A6A6A6" w:themeColor="background1" w:themeShade="A6"/>
                <w:sz w:val="32"/>
                <w:szCs w:val="32"/>
              </w:rPr>
              <w:t>Tees Valley Education Trust</w:t>
            </w:r>
          </w:p>
        </w:tc>
      </w:tr>
      <w:tr w:rsidR="00B44167" w14:paraId="4E2A5A83" w14:textId="77777777" w:rsidTr="00137D16">
        <w:trPr>
          <w:trHeight w:val="454"/>
        </w:trPr>
        <w:tc>
          <w:tcPr>
            <w:tcW w:w="584" w:type="dxa"/>
          </w:tcPr>
          <w:p w14:paraId="3048D5D9" w14:textId="77777777" w:rsidR="00B44167" w:rsidRDefault="00B44167" w:rsidP="00B44167"/>
        </w:tc>
        <w:tc>
          <w:tcPr>
            <w:tcW w:w="4402" w:type="dxa"/>
            <w:vAlign w:val="center"/>
          </w:tcPr>
          <w:p w14:paraId="7540BFF8" w14:textId="77777777" w:rsidR="00B44167" w:rsidRPr="00876C9F" w:rsidRDefault="00B44167" w:rsidP="00B44167"/>
        </w:tc>
        <w:tc>
          <w:tcPr>
            <w:tcW w:w="2565" w:type="dxa"/>
            <w:gridSpan w:val="2"/>
            <w:vAlign w:val="center"/>
          </w:tcPr>
          <w:p w14:paraId="50117AA3" w14:textId="77777777" w:rsidR="00B44167" w:rsidRPr="00876C9F" w:rsidRDefault="00B44167" w:rsidP="00B44167"/>
        </w:tc>
        <w:tc>
          <w:tcPr>
            <w:tcW w:w="2372" w:type="dxa"/>
          </w:tcPr>
          <w:p w14:paraId="499AAEA2" w14:textId="77777777" w:rsidR="00B44167" w:rsidRDefault="00B44167" w:rsidP="00B44167"/>
        </w:tc>
      </w:tr>
      <w:tr w:rsidR="00B44167" w14:paraId="1BE58719" w14:textId="77777777" w:rsidTr="00137D16">
        <w:trPr>
          <w:trHeight w:val="454"/>
        </w:trPr>
        <w:tc>
          <w:tcPr>
            <w:tcW w:w="584" w:type="dxa"/>
          </w:tcPr>
          <w:p w14:paraId="49DF2F60" w14:textId="77777777" w:rsidR="00B44167" w:rsidRDefault="00B44167" w:rsidP="00B44167"/>
        </w:tc>
        <w:tc>
          <w:tcPr>
            <w:tcW w:w="4402" w:type="dxa"/>
            <w:tcBorders>
              <w:bottom w:val="single" w:sz="4" w:space="0" w:color="auto"/>
            </w:tcBorders>
            <w:vAlign w:val="center"/>
          </w:tcPr>
          <w:p w14:paraId="12296346" w14:textId="77777777" w:rsidR="00B44167" w:rsidRPr="00876C9F" w:rsidRDefault="00B44167" w:rsidP="00B44167"/>
        </w:tc>
        <w:tc>
          <w:tcPr>
            <w:tcW w:w="2565" w:type="dxa"/>
            <w:gridSpan w:val="2"/>
            <w:tcBorders>
              <w:bottom w:val="single" w:sz="4" w:space="0" w:color="auto"/>
            </w:tcBorders>
            <w:vAlign w:val="center"/>
          </w:tcPr>
          <w:p w14:paraId="58D22F66" w14:textId="77777777" w:rsidR="00B44167" w:rsidRPr="00876C9F" w:rsidRDefault="00B44167" w:rsidP="00B44167"/>
        </w:tc>
        <w:tc>
          <w:tcPr>
            <w:tcW w:w="2372" w:type="dxa"/>
            <w:tcBorders>
              <w:bottom w:val="single" w:sz="4" w:space="0" w:color="auto"/>
            </w:tcBorders>
          </w:tcPr>
          <w:p w14:paraId="12713406" w14:textId="77777777" w:rsidR="00B44167" w:rsidRDefault="00B44167" w:rsidP="00B44167"/>
        </w:tc>
      </w:tr>
      <w:tr w:rsidR="00B44167" w14:paraId="48687D7F" w14:textId="77777777" w:rsidTr="00137D16">
        <w:trPr>
          <w:trHeight w:val="454"/>
        </w:trPr>
        <w:tc>
          <w:tcPr>
            <w:tcW w:w="584" w:type="dxa"/>
            <w:tcBorders>
              <w:right w:val="single" w:sz="4" w:space="0" w:color="auto"/>
            </w:tcBorders>
          </w:tcPr>
          <w:p w14:paraId="4F7C9768"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9C95C00" w14:textId="77777777" w:rsidR="00B44167" w:rsidRPr="00876C9F" w:rsidRDefault="00B44167" w:rsidP="00B44167">
            <w:pPr>
              <w:rPr>
                <w:rFonts w:cs="ArialMT"/>
                <w:color w:val="000000"/>
                <w:sz w:val="28"/>
                <w:szCs w:val="28"/>
              </w:rPr>
            </w:pPr>
            <w:r w:rsidRPr="00876C9F">
              <w:t xml:space="preserve">Version: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3CDB696E" w14:textId="4C2DE219" w:rsidR="00B44167" w:rsidRDefault="00137D16" w:rsidP="003B3A71">
            <w:r>
              <w:t>1.</w:t>
            </w:r>
            <w:r w:rsidR="00FA66A6">
              <w:t>4</w:t>
            </w:r>
          </w:p>
        </w:tc>
      </w:tr>
      <w:tr w:rsidR="00B44167" w14:paraId="2DCA344B" w14:textId="77777777" w:rsidTr="00137D16">
        <w:trPr>
          <w:trHeight w:val="454"/>
        </w:trPr>
        <w:tc>
          <w:tcPr>
            <w:tcW w:w="584" w:type="dxa"/>
            <w:tcBorders>
              <w:right w:val="single" w:sz="4" w:space="0" w:color="auto"/>
            </w:tcBorders>
          </w:tcPr>
          <w:p w14:paraId="6BA3577D"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46034E4" w14:textId="77777777" w:rsidR="00B44167" w:rsidRPr="00876C9F" w:rsidRDefault="00B44167" w:rsidP="00B44167">
            <w:pPr>
              <w:rPr>
                <w:rFonts w:cs="ArialMT"/>
                <w:color w:val="000000"/>
                <w:sz w:val="28"/>
                <w:szCs w:val="28"/>
              </w:rPr>
            </w:pPr>
            <w:r w:rsidRPr="00876C9F">
              <w:t xml:space="preserve">Ratified by: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29DA10FB" w14:textId="7757C809" w:rsidR="00B44167" w:rsidRDefault="00E311F9" w:rsidP="00B44167">
            <w:r>
              <w:t>Trust Board</w:t>
            </w:r>
          </w:p>
        </w:tc>
      </w:tr>
      <w:tr w:rsidR="00B44167" w14:paraId="068C15E5" w14:textId="77777777" w:rsidTr="00137D16">
        <w:trPr>
          <w:trHeight w:val="454"/>
        </w:trPr>
        <w:tc>
          <w:tcPr>
            <w:tcW w:w="584" w:type="dxa"/>
            <w:tcBorders>
              <w:right w:val="single" w:sz="4" w:space="0" w:color="auto"/>
            </w:tcBorders>
          </w:tcPr>
          <w:p w14:paraId="65FEC6F2"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A233137" w14:textId="4BC822A3" w:rsidR="00B44167" w:rsidRPr="00876C9F" w:rsidRDefault="00B44167" w:rsidP="00F3358E">
            <w:pPr>
              <w:rPr>
                <w:rFonts w:cs="ArialMT"/>
                <w:color w:val="000000"/>
                <w:sz w:val="28"/>
                <w:szCs w:val="28"/>
              </w:rPr>
            </w:pPr>
            <w:r w:rsidRPr="00876C9F">
              <w:t xml:space="preserve">Name of </w:t>
            </w:r>
            <w:r w:rsidR="00F3358E">
              <w:t>reviewer</w:t>
            </w:r>
            <w:r w:rsidRPr="00876C9F">
              <w:t xml:space="preserve">: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3323FC20" w14:textId="27B007E1" w:rsidR="00B44167" w:rsidRDefault="00210B70" w:rsidP="00FA66A6">
            <w:r>
              <w:t xml:space="preserve">Emma Chawner, </w:t>
            </w:r>
            <w:r w:rsidR="00FA66A6">
              <w:t>Chief Operating Officer</w:t>
            </w:r>
          </w:p>
        </w:tc>
      </w:tr>
      <w:tr w:rsidR="00B44167" w14:paraId="6BD9FA0F" w14:textId="77777777" w:rsidTr="00137D16">
        <w:trPr>
          <w:trHeight w:val="454"/>
        </w:trPr>
        <w:tc>
          <w:tcPr>
            <w:tcW w:w="584" w:type="dxa"/>
            <w:tcBorders>
              <w:right w:val="single" w:sz="4" w:space="0" w:color="auto"/>
            </w:tcBorders>
          </w:tcPr>
          <w:p w14:paraId="4730A37E"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2FFD068B" w14:textId="77777777" w:rsidR="00B44167" w:rsidRPr="00876C9F" w:rsidRDefault="00B44167" w:rsidP="00B44167">
            <w:pPr>
              <w:rPr>
                <w:rFonts w:cs="ArialMT"/>
                <w:color w:val="000000"/>
                <w:sz w:val="28"/>
                <w:szCs w:val="28"/>
              </w:rPr>
            </w:pPr>
            <w:r w:rsidRPr="00876C9F">
              <w:t xml:space="preserve">Circulated to: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18F0E04F" w14:textId="1B2AA285" w:rsidR="00B44167" w:rsidRDefault="00E311F9" w:rsidP="00B44167">
            <w:r>
              <w:t>Trust Employees and Local Authority</w:t>
            </w:r>
          </w:p>
        </w:tc>
      </w:tr>
      <w:tr w:rsidR="00B44167" w14:paraId="1F69D02D" w14:textId="77777777" w:rsidTr="00137D16">
        <w:trPr>
          <w:trHeight w:val="454"/>
        </w:trPr>
        <w:tc>
          <w:tcPr>
            <w:tcW w:w="584" w:type="dxa"/>
            <w:tcBorders>
              <w:right w:val="single" w:sz="4" w:space="0" w:color="auto"/>
            </w:tcBorders>
          </w:tcPr>
          <w:p w14:paraId="50F0D53C"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42314620" w14:textId="7E022092" w:rsidR="00B44167" w:rsidRPr="00876C9F" w:rsidRDefault="00B44167" w:rsidP="00B44167">
            <w:pPr>
              <w:rPr>
                <w:rFonts w:cs="ArialMT"/>
                <w:color w:val="000000"/>
                <w:sz w:val="28"/>
                <w:szCs w:val="28"/>
              </w:rPr>
            </w:pPr>
            <w:r w:rsidRPr="00876C9F">
              <w:t>Review</w:t>
            </w:r>
            <w:r w:rsidR="00137D16">
              <w:t>ed</w:t>
            </w:r>
            <w:r w:rsidRPr="00876C9F">
              <w:t xml:space="preserve"> date:</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775BFF9B" w14:textId="2C10F1E4" w:rsidR="00B44167" w:rsidRDefault="00FA66A6" w:rsidP="00137D16">
            <w:r>
              <w:t>August 2021</w:t>
            </w:r>
          </w:p>
        </w:tc>
      </w:tr>
      <w:tr w:rsidR="00B44167" w14:paraId="7F386C2A" w14:textId="77777777" w:rsidTr="00137D16">
        <w:trPr>
          <w:trHeight w:val="454"/>
        </w:trPr>
        <w:tc>
          <w:tcPr>
            <w:tcW w:w="584" w:type="dxa"/>
            <w:tcBorders>
              <w:right w:val="single" w:sz="4" w:space="0" w:color="auto"/>
            </w:tcBorders>
          </w:tcPr>
          <w:p w14:paraId="3964135B"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4F476F10" w14:textId="77777777" w:rsidR="00B44167" w:rsidRPr="00AB5104" w:rsidRDefault="00B44167" w:rsidP="00B44167">
            <w:r w:rsidRPr="00876C9F">
              <w:t>Target audience:</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027C8CF6" w14:textId="551D81DF" w:rsidR="00B44167" w:rsidRDefault="00F3358E" w:rsidP="00767821">
            <w:r>
              <w:t>All Trust employees and general public</w:t>
            </w:r>
          </w:p>
        </w:tc>
      </w:tr>
    </w:tbl>
    <w:p w14:paraId="329A8D4F" w14:textId="77777777" w:rsidR="00B44167" w:rsidRPr="00C3069B" w:rsidRDefault="00B44167" w:rsidP="00B44167"/>
    <w:p w14:paraId="6E2BD874" w14:textId="77777777" w:rsidR="00B44167" w:rsidRPr="00876C9F" w:rsidRDefault="00B44167" w:rsidP="00B44167">
      <w:r w:rsidRPr="00876C9F">
        <w:rPr>
          <w:noProof/>
          <w:lang w:eastAsia="en-GB"/>
        </w:rPr>
        <w:drawing>
          <wp:anchor distT="0" distB="0" distL="114300" distR="114300" simplePos="0" relativeHeight="251661312" behindDoc="0" locked="0" layoutInCell="1" allowOverlap="1" wp14:anchorId="5016D4C7" wp14:editId="16EDC963">
            <wp:simplePos x="0" y="0"/>
            <wp:positionH relativeFrom="column">
              <wp:posOffset>3750945</wp:posOffset>
            </wp:positionH>
            <wp:positionV relativeFrom="paragraph">
              <wp:posOffset>8890</wp:posOffset>
            </wp:positionV>
            <wp:extent cx="2719070" cy="89027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0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BC24B" w14:textId="77777777" w:rsidR="00B44167" w:rsidRDefault="00B44167" w:rsidP="00B44167">
      <w:pPr>
        <w:rPr>
          <w:sz w:val="28"/>
          <w:szCs w:val="28"/>
        </w:rPr>
      </w:pPr>
    </w:p>
    <w:p w14:paraId="5048ECCE" w14:textId="77777777" w:rsidR="00B44167" w:rsidRDefault="00B44167" w:rsidP="00B44167">
      <w:pPr>
        <w:rPr>
          <w:sz w:val="28"/>
          <w:szCs w:val="28"/>
        </w:rPr>
      </w:pPr>
    </w:p>
    <w:p w14:paraId="18B1822A" w14:textId="77777777" w:rsidR="00B44167" w:rsidRPr="00F56C97" w:rsidRDefault="00B44167" w:rsidP="00B44167">
      <w:pPr>
        <w:rPr>
          <w:sz w:val="28"/>
          <w:szCs w:val="28"/>
        </w:rPr>
      </w:pPr>
      <w:r w:rsidRPr="00F56C97">
        <w:rPr>
          <w:sz w:val="28"/>
          <w:szCs w:val="28"/>
        </w:rPr>
        <w:lastRenderedPageBreak/>
        <w:t>TABLE OF CONTENTS</w:t>
      </w:r>
    </w:p>
    <w:bookmarkStart w:id="0" w:name="_Toc429679723" w:displacedByCustomXml="next"/>
    <w:sdt>
      <w:sdtPr>
        <w:rPr>
          <w:rFonts w:asciiTheme="minorHAnsi" w:eastAsiaTheme="minorHAnsi" w:hAnsiTheme="minorHAnsi" w:cstheme="minorBidi"/>
          <w:b w:val="0"/>
          <w:bCs w:val="0"/>
          <w:sz w:val="24"/>
          <w:szCs w:val="24"/>
          <w:lang w:bidi="ar-SA"/>
        </w:rPr>
        <w:id w:val="-2104257688"/>
        <w:docPartObj>
          <w:docPartGallery w:val="Table of Contents"/>
          <w:docPartUnique/>
        </w:docPartObj>
      </w:sdtPr>
      <w:sdtEndPr>
        <w:rPr>
          <w:noProof/>
        </w:rPr>
      </w:sdtEndPr>
      <w:sdtContent>
        <w:p w14:paraId="2D3E9A25" w14:textId="287D123B" w:rsidR="00353E62" w:rsidRPr="00EC0E1D" w:rsidRDefault="00EC0E1D">
          <w:pPr>
            <w:pStyle w:val="TOCHeading"/>
            <w:rPr>
              <w:rFonts w:asciiTheme="minorHAnsi" w:hAnsiTheme="minorHAnsi" w:cstheme="minorHAnsi"/>
            </w:rPr>
          </w:pPr>
          <w:r w:rsidRPr="00EC0E1D">
            <w:rPr>
              <w:rFonts w:asciiTheme="minorHAnsi" w:hAnsiTheme="minorHAnsi" w:cstheme="minorHAnsi"/>
            </w:rPr>
            <w:t>CONTENTS</w:t>
          </w:r>
        </w:p>
        <w:p w14:paraId="19E952EA" w14:textId="30821F87" w:rsidR="00353E62" w:rsidRDefault="00353E62">
          <w:pPr>
            <w:pStyle w:val="TOC1"/>
            <w:rPr>
              <w:rFonts w:eastAsiaTheme="minorEastAsia"/>
              <w:caps w:val="0"/>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29183389" w:history="1">
            <w:r w:rsidRPr="008E11EB">
              <w:rPr>
                <w:rStyle w:val="Hyperlink"/>
                <w:noProof/>
              </w:rPr>
              <w:t>2.</w:t>
            </w:r>
            <w:r>
              <w:rPr>
                <w:rFonts w:eastAsiaTheme="minorEastAsia"/>
                <w:caps w:val="0"/>
                <w:noProof/>
                <w:sz w:val="22"/>
                <w:szCs w:val="22"/>
                <w:lang w:eastAsia="en-GB"/>
              </w:rPr>
              <w:tab/>
            </w:r>
            <w:r w:rsidRPr="008E11EB">
              <w:rPr>
                <w:rStyle w:val="Hyperlink"/>
                <w:noProof/>
              </w:rPr>
              <w:t>INTRODUCTION</w:t>
            </w:r>
            <w:r>
              <w:rPr>
                <w:noProof/>
                <w:webHidden/>
              </w:rPr>
              <w:tab/>
            </w:r>
            <w:r>
              <w:rPr>
                <w:noProof/>
                <w:webHidden/>
              </w:rPr>
              <w:fldChar w:fldCharType="begin"/>
            </w:r>
            <w:r>
              <w:rPr>
                <w:noProof/>
                <w:webHidden/>
              </w:rPr>
              <w:instrText xml:space="preserve"> PAGEREF _Toc529183389 \h </w:instrText>
            </w:r>
            <w:r>
              <w:rPr>
                <w:noProof/>
                <w:webHidden/>
              </w:rPr>
            </w:r>
            <w:r>
              <w:rPr>
                <w:noProof/>
                <w:webHidden/>
              </w:rPr>
              <w:fldChar w:fldCharType="separate"/>
            </w:r>
            <w:r w:rsidR="002C60D2">
              <w:rPr>
                <w:noProof/>
                <w:webHidden/>
              </w:rPr>
              <w:t>3</w:t>
            </w:r>
            <w:r>
              <w:rPr>
                <w:noProof/>
                <w:webHidden/>
              </w:rPr>
              <w:fldChar w:fldCharType="end"/>
            </w:r>
          </w:hyperlink>
        </w:p>
        <w:p w14:paraId="271EA843" w14:textId="1B0532EA" w:rsidR="00353E62" w:rsidRDefault="0029398B">
          <w:pPr>
            <w:pStyle w:val="TOC1"/>
            <w:rPr>
              <w:rFonts w:eastAsiaTheme="minorEastAsia"/>
              <w:caps w:val="0"/>
              <w:noProof/>
              <w:sz w:val="22"/>
              <w:szCs w:val="22"/>
              <w:lang w:eastAsia="en-GB"/>
            </w:rPr>
          </w:pPr>
          <w:hyperlink w:anchor="_Toc529183390" w:history="1">
            <w:r w:rsidR="00353E62" w:rsidRPr="008E11EB">
              <w:rPr>
                <w:rStyle w:val="Hyperlink"/>
                <w:noProof/>
              </w:rPr>
              <w:t>3.</w:t>
            </w:r>
            <w:r w:rsidR="00353E62">
              <w:rPr>
                <w:rFonts w:eastAsiaTheme="minorEastAsia"/>
                <w:caps w:val="0"/>
                <w:noProof/>
                <w:sz w:val="22"/>
                <w:szCs w:val="22"/>
                <w:lang w:eastAsia="en-GB"/>
              </w:rPr>
              <w:tab/>
            </w:r>
            <w:r w:rsidR="00353E62" w:rsidRPr="008E11EB">
              <w:rPr>
                <w:rStyle w:val="Hyperlink"/>
                <w:noProof/>
              </w:rPr>
              <w:t>RECEPTION ADMISSIONS</w:t>
            </w:r>
            <w:r w:rsidR="00353E62">
              <w:rPr>
                <w:noProof/>
                <w:webHidden/>
              </w:rPr>
              <w:tab/>
            </w:r>
            <w:r w:rsidR="00353E62">
              <w:rPr>
                <w:noProof/>
                <w:webHidden/>
              </w:rPr>
              <w:fldChar w:fldCharType="begin"/>
            </w:r>
            <w:r w:rsidR="00353E62">
              <w:rPr>
                <w:noProof/>
                <w:webHidden/>
              </w:rPr>
              <w:instrText xml:space="preserve"> PAGEREF _Toc529183390 \h </w:instrText>
            </w:r>
            <w:r w:rsidR="00353E62">
              <w:rPr>
                <w:noProof/>
                <w:webHidden/>
              </w:rPr>
            </w:r>
            <w:r w:rsidR="00353E62">
              <w:rPr>
                <w:noProof/>
                <w:webHidden/>
              </w:rPr>
              <w:fldChar w:fldCharType="separate"/>
            </w:r>
            <w:r w:rsidR="002C60D2">
              <w:rPr>
                <w:noProof/>
                <w:webHidden/>
              </w:rPr>
              <w:t>3</w:t>
            </w:r>
            <w:r w:rsidR="00353E62">
              <w:rPr>
                <w:noProof/>
                <w:webHidden/>
              </w:rPr>
              <w:fldChar w:fldCharType="end"/>
            </w:r>
          </w:hyperlink>
        </w:p>
        <w:p w14:paraId="5E29D03B" w14:textId="710AF4A0" w:rsidR="00353E62" w:rsidRDefault="0029398B">
          <w:pPr>
            <w:pStyle w:val="TOC1"/>
            <w:rPr>
              <w:rFonts w:eastAsiaTheme="minorEastAsia"/>
              <w:caps w:val="0"/>
              <w:noProof/>
              <w:sz w:val="22"/>
              <w:szCs w:val="22"/>
              <w:lang w:eastAsia="en-GB"/>
            </w:rPr>
          </w:pPr>
          <w:hyperlink w:anchor="_Toc529183391" w:history="1">
            <w:r w:rsidR="00353E62" w:rsidRPr="008E11EB">
              <w:rPr>
                <w:rStyle w:val="Hyperlink"/>
                <w:noProof/>
              </w:rPr>
              <w:t>4.</w:t>
            </w:r>
            <w:r w:rsidR="00353E62">
              <w:rPr>
                <w:rFonts w:eastAsiaTheme="minorEastAsia"/>
                <w:caps w:val="0"/>
                <w:noProof/>
                <w:sz w:val="22"/>
                <w:szCs w:val="22"/>
                <w:lang w:eastAsia="en-GB"/>
              </w:rPr>
              <w:tab/>
            </w:r>
            <w:r w:rsidR="00353E62" w:rsidRPr="008E11EB">
              <w:rPr>
                <w:rStyle w:val="Hyperlink"/>
                <w:noProof/>
              </w:rPr>
              <w:t>MID-YEAR ADMISSIONS</w:t>
            </w:r>
            <w:r w:rsidR="00353E62">
              <w:rPr>
                <w:noProof/>
                <w:webHidden/>
              </w:rPr>
              <w:tab/>
            </w:r>
            <w:r w:rsidR="00353E62">
              <w:rPr>
                <w:noProof/>
                <w:webHidden/>
              </w:rPr>
              <w:fldChar w:fldCharType="begin"/>
            </w:r>
            <w:r w:rsidR="00353E62">
              <w:rPr>
                <w:noProof/>
                <w:webHidden/>
              </w:rPr>
              <w:instrText xml:space="preserve"> PAGEREF _Toc529183391 \h </w:instrText>
            </w:r>
            <w:r w:rsidR="00353E62">
              <w:rPr>
                <w:noProof/>
                <w:webHidden/>
              </w:rPr>
            </w:r>
            <w:r w:rsidR="00353E62">
              <w:rPr>
                <w:noProof/>
                <w:webHidden/>
              </w:rPr>
              <w:fldChar w:fldCharType="separate"/>
            </w:r>
            <w:r w:rsidR="002C60D2">
              <w:rPr>
                <w:noProof/>
                <w:webHidden/>
              </w:rPr>
              <w:t>3</w:t>
            </w:r>
            <w:r w:rsidR="00353E62">
              <w:rPr>
                <w:noProof/>
                <w:webHidden/>
              </w:rPr>
              <w:fldChar w:fldCharType="end"/>
            </w:r>
          </w:hyperlink>
        </w:p>
        <w:p w14:paraId="052642A0" w14:textId="5695E2F4" w:rsidR="00353E62" w:rsidRDefault="0029398B">
          <w:pPr>
            <w:pStyle w:val="TOC1"/>
            <w:rPr>
              <w:rFonts w:eastAsiaTheme="minorEastAsia"/>
              <w:caps w:val="0"/>
              <w:noProof/>
              <w:sz w:val="22"/>
              <w:szCs w:val="22"/>
              <w:lang w:eastAsia="en-GB"/>
            </w:rPr>
          </w:pPr>
          <w:hyperlink w:anchor="_Toc529183392" w:history="1">
            <w:r w:rsidR="00353E62" w:rsidRPr="008E11EB">
              <w:rPr>
                <w:rStyle w:val="Hyperlink"/>
                <w:noProof/>
              </w:rPr>
              <w:t>5.</w:t>
            </w:r>
            <w:r w:rsidR="00353E62">
              <w:rPr>
                <w:rFonts w:eastAsiaTheme="minorEastAsia"/>
                <w:caps w:val="0"/>
                <w:noProof/>
                <w:sz w:val="22"/>
                <w:szCs w:val="22"/>
                <w:lang w:eastAsia="en-GB"/>
              </w:rPr>
              <w:tab/>
            </w:r>
            <w:r w:rsidR="00353E62" w:rsidRPr="008E11EB">
              <w:rPr>
                <w:rStyle w:val="Hyperlink"/>
                <w:noProof/>
              </w:rPr>
              <w:t>IMPORTANT ADDITIONAL INFORMATION</w:t>
            </w:r>
            <w:r w:rsidR="00353E62">
              <w:rPr>
                <w:noProof/>
                <w:webHidden/>
              </w:rPr>
              <w:tab/>
            </w:r>
            <w:r w:rsidR="00353E62">
              <w:rPr>
                <w:noProof/>
                <w:webHidden/>
              </w:rPr>
              <w:fldChar w:fldCharType="begin"/>
            </w:r>
            <w:r w:rsidR="00353E62">
              <w:rPr>
                <w:noProof/>
                <w:webHidden/>
              </w:rPr>
              <w:instrText xml:space="preserve"> PAGEREF _Toc529183392 \h </w:instrText>
            </w:r>
            <w:r w:rsidR="00353E62">
              <w:rPr>
                <w:noProof/>
                <w:webHidden/>
              </w:rPr>
            </w:r>
            <w:r w:rsidR="00353E62">
              <w:rPr>
                <w:noProof/>
                <w:webHidden/>
              </w:rPr>
              <w:fldChar w:fldCharType="separate"/>
            </w:r>
            <w:r w:rsidR="002C60D2">
              <w:rPr>
                <w:noProof/>
                <w:webHidden/>
              </w:rPr>
              <w:t>4</w:t>
            </w:r>
            <w:r w:rsidR="00353E62">
              <w:rPr>
                <w:noProof/>
                <w:webHidden/>
              </w:rPr>
              <w:fldChar w:fldCharType="end"/>
            </w:r>
          </w:hyperlink>
        </w:p>
        <w:p w14:paraId="27D6A9C7" w14:textId="15653CB1" w:rsidR="00353E62" w:rsidRDefault="0029398B">
          <w:pPr>
            <w:pStyle w:val="TOC1"/>
            <w:rPr>
              <w:rFonts w:eastAsiaTheme="minorEastAsia"/>
              <w:caps w:val="0"/>
              <w:noProof/>
              <w:sz w:val="22"/>
              <w:szCs w:val="22"/>
              <w:lang w:eastAsia="en-GB"/>
            </w:rPr>
          </w:pPr>
          <w:hyperlink w:anchor="_Toc529183393" w:history="1">
            <w:r w:rsidR="00353E62" w:rsidRPr="008E11EB">
              <w:rPr>
                <w:rStyle w:val="Hyperlink"/>
                <w:noProof/>
              </w:rPr>
              <w:t>6.</w:t>
            </w:r>
            <w:r w:rsidR="00353E62">
              <w:rPr>
                <w:rFonts w:eastAsiaTheme="minorEastAsia"/>
                <w:caps w:val="0"/>
                <w:noProof/>
                <w:sz w:val="22"/>
                <w:szCs w:val="22"/>
                <w:lang w:eastAsia="en-GB"/>
              </w:rPr>
              <w:tab/>
            </w:r>
            <w:r w:rsidR="00353E62" w:rsidRPr="008E11EB">
              <w:rPr>
                <w:rStyle w:val="Hyperlink"/>
                <w:noProof/>
              </w:rPr>
              <w:t>PRIMARY ADMISSIONS - DETERMINING OFFERS IN RESPONSE TO APPLICATIONS.</w:t>
            </w:r>
            <w:r w:rsidR="00353E62">
              <w:rPr>
                <w:noProof/>
                <w:webHidden/>
              </w:rPr>
              <w:tab/>
            </w:r>
            <w:r w:rsidR="00353E62">
              <w:rPr>
                <w:noProof/>
                <w:webHidden/>
              </w:rPr>
              <w:fldChar w:fldCharType="begin"/>
            </w:r>
            <w:r w:rsidR="00353E62">
              <w:rPr>
                <w:noProof/>
                <w:webHidden/>
              </w:rPr>
              <w:instrText xml:space="preserve"> PAGEREF _Toc529183393 \h </w:instrText>
            </w:r>
            <w:r w:rsidR="00353E62">
              <w:rPr>
                <w:noProof/>
                <w:webHidden/>
              </w:rPr>
            </w:r>
            <w:r w:rsidR="00353E62">
              <w:rPr>
                <w:noProof/>
                <w:webHidden/>
              </w:rPr>
              <w:fldChar w:fldCharType="separate"/>
            </w:r>
            <w:r w:rsidR="002C60D2">
              <w:rPr>
                <w:noProof/>
                <w:webHidden/>
              </w:rPr>
              <w:t>4</w:t>
            </w:r>
            <w:r w:rsidR="00353E62">
              <w:rPr>
                <w:noProof/>
                <w:webHidden/>
              </w:rPr>
              <w:fldChar w:fldCharType="end"/>
            </w:r>
          </w:hyperlink>
        </w:p>
        <w:p w14:paraId="713BECDD" w14:textId="0BABC328" w:rsidR="00353E62" w:rsidRDefault="0029398B">
          <w:pPr>
            <w:pStyle w:val="TOC1"/>
            <w:rPr>
              <w:rFonts w:eastAsiaTheme="minorEastAsia"/>
              <w:caps w:val="0"/>
              <w:noProof/>
              <w:sz w:val="22"/>
              <w:szCs w:val="22"/>
              <w:lang w:eastAsia="en-GB"/>
            </w:rPr>
          </w:pPr>
          <w:hyperlink w:anchor="_Toc529183394" w:history="1">
            <w:r w:rsidR="00353E62" w:rsidRPr="008E11EB">
              <w:rPr>
                <w:rStyle w:val="Hyperlink"/>
                <w:noProof/>
              </w:rPr>
              <w:t>7.</w:t>
            </w:r>
            <w:r w:rsidR="00353E62">
              <w:rPr>
                <w:rFonts w:eastAsiaTheme="minorEastAsia"/>
                <w:caps w:val="0"/>
                <w:noProof/>
                <w:sz w:val="22"/>
                <w:szCs w:val="22"/>
                <w:lang w:eastAsia="en-GB"/>
              </w:rPr>
              <w:tab/>
            </w:r>
            <w:r w:rsidR="00EC0E1D">
              <w:rPr>
                <w:rStyle w:val="Hyperlink"/>
                <w:noProof/>
              </w:rPr>
              <w:t>ADMISSION NUMBER FOR 202</w:t>
            </w:r>
            <w:r w:rsidR="00C60EAD">
              <w:rPr>
                <w:rStyle w:val="Hyperlink"/>
                <w:noProof/>
              </w:rPr>
              <w:t>1 / 2022</w:t>
            </w:r>
            <w:r w:rsidR="00353E62">
              <w:rPr>
                <w:noProof/>
                <w:webHidden/>
              </w:rPr>
              <w:tab/>
            </w:r>
            <w:r w:rsidR="006C27B0">
              <w:rPr>
                <w:noProof/>
                <w:webHidden/>
              </w:rPr>
              <w:t>5</w:t>
            </w:r>
          </w:hyperlink>
        </w:p>
        <w:p w14:paraId="22FAD59F" w14:textId="5644C2C1" w:rsidR="00353E62" w:rsidRDefault="0029398B">
          <w:pPr>
            <w:pStyle w:val="TOC1"/>
            <w:rPr>
              <w:rFonts w:eastAsiaTheme="minorEastAsia"/>
              <w:caps w:val="0"/>
              <w:noProof/>
              <w:sz w:val="22"/>
              <w:szCs w:val="22"/>
              <w:lang w:eastAsia="en-GB"/>
            </w:rPr>
          </w:pPr>
          <w:hyperlink w:anchor="_Toc529183395" w:history="1">
            <w:r w:rsidR="00353E62" w:rsidRPr="008E11EB">
              <w:rPr>
                <w:rStyle w:val="Hyperlink"/>
                <w:noProof/>
              </w:rPr>
              <w:t>8.</w:t>
            </w:r>
            <w:r w:rsidR="00353E62">
              <w:rPr>
                <w:rFonts w:eastAsiaTheme="minorEastAsia"/>
                <w:caps w:val="0"/>
                <w:noProof/>
                <w:sz w:val="22"/>
                <w:szCs w:val="22"/>
                <w:lang w:eastAsia="en-GB"/>
              </w:rPr>
              <w:tab/>
            </w:r>
            <w:r w:rsidR="00353E62" w:rsidRPr="008E11EB">
              <w:rPr>
                <w:rStyle w:val="Hyperlink"/>
                <w:noProof/>
              </w:rPr>
              <w:t>OVER-SUBSCRIPTION CRITERIA</w:t>
            </w:r>
            <w:r w:rsidR="00353E62">
              <w:rPr>
                <w:noProof/>
                <w:webHidden/>
              </w:rPr>
              <w:tab/>
            </w:r>
            <w:r w:rsidR="00353E62">
              <w:rPr>
                <w:noProof/>
                <w:webHidden/>
              </w:rPr>
              <w:fldChar w:fldCharType="begin"/>
            </w:r>
            <w:r w:rsidR="00353E62">
              <w:rPr>
                <w:noProof/>
                <w:webHidden/>
              </w:rPr>
              <w:instrText xml:space="preserve"> PAGEREF _Toc529183395 \h </w:instrText>
            </w:r>
            <w:r w:rsidR="00353E62">
              <w:rPr>
                <w:noProof/>
                <w:webHidden/>
              </w:rPr>
            </w:r>
            <w:r w:rsidR="00353E62">
              <w:rPr>
                <w:noProof/>
                <w:webHidden/>
              </w:rPr>
              <w:fldChar w:fldCharType="separate"/>
            </w:r>
            <w:r w:rsidR="002C60D2">
              <w:rPr>
                <w:noProof/>
                <w:webHidden/>
              </w:rPr>
              <w:t>5</w:t>
            </w:r>
            <w:r w:rsidR="00353E62">
              <w:rPr>
                <w:noProof/>
                <w:webHidden/>
              </w:rPr>
              <w:fldChar w:fldCharType="end"/>
            </w:r>
          </w:hyperlink>
        </w:p>
        <w:p w14:paraId="0BE1E7A4" w14:textId="6A819D6C" w:rsidR="00353E62" w:rsidRDefault="0029398B">
          <w:pPr>
            <w:pStyle w:val="TOC1"/>
            <w:rPr>
              <w:rFonts w:eastAsiaTheme="minorEastAsia"/>
              <w:caps w:val="0"/>
              <w:noProof/>
              <w:sz w:val="22"/>
              <w:szCs w:val="22"/>
              <w:lang w:eastAsia="en-GB"/>
            </w:rPr>
          </w:pPr>
          <w:hyperlink w:anchor="_Toc529183396" w:history="1">
            <w:r w:rsidR="00353E62" w:rsidRPr="008E11EB">
              <w:rPr>
                <w:rStyle w:val="Hyperlink"/>
                <w:noProof/>
              </w:rPr>
              <w:t>9.</w:t>
            </w:r>
            <w:r w:rsidR="00353E62">
              <w:rPr>
                <w:rFonts w:eastAsiaTheme="minorEastAsia"/>
                <w:caps w:val="0"/>
                <w:noProof/>
                <w:sz w:val="22"/>
                <w:szCs w:val="22"/>
                <w:lang w:eastAsia="en-GB"/>
              </w:rPr>
              <w:tab/>
            </w:r>
            <w:r w:rsidR="00EC0E1D">
              <w:rPr>
                <w:rStyle w:val="Hyperlink"/>
                <w:noProof/>
              </w:rPr>
              <w:t>TIE</w:t>
            </w:r>
            <w:r w:rsidR="00353E62" w:rsidRPr="008E11EB">
              <w:rPr>
                <w:rStyle w:val="Hyperlink"/>
                <w:noProof/>
              </w:rPr>
              <w:t>-BREAK</w:t>
            </w:r>
            <w:r w:rsidR="00353E62">
              <w:rPr>
                <w:noProof/>
                <w:webHidden/>
              </w:rPr>
              <w:tab/>
            </w:r>
            <w:r w:rsidR="00353E62">
              <w:rPr>
                <w:noProof/>
                <w:webHidden/>
              </w:rPr>
              <w:fldChar w:fldCharType="begin"/>
            </w:r>
            <w:r w:rsidR="00353E62">
              <w:rPr>
                <w:noProof/>
                <w:webHidden/>
              </w:rPr>
              <w:instrText xml:space="preserve"> PAGEREF _Toc529183396 \h </w:instrText>
            </w:r>
            <w:r w:rsidR="00353E62">
              <w:rPr>
                <w:noProof/>
                <w:webHidden/>
              </w:rPr>
            </w:r>
            <w:r w:rsidR="00353E62">
              <w:rPr>
                <w:noProof/>
                <w:webHidden/>
              </w:rPr>
              <w:fldChar w:fldCharType="separate"/>
            </w:r>
            <w:r w:rsidR="002C60D2">
              <w:rPr>
                <w:noProof/>
                <w:webHidden/>
              </w:rPr>
              <w:t>6</w:t>
            </w:r>
            <w:r w:rsidR="00353E62">
              <w:rPr>
                <w:noProof/>
                <w:webHidden/>
              </w:rPr>
              <w:fldChar w:fldCharType="end"/>
            </w:r>
          </w:hyperlink>
        </w:p>
        <w:p w14:paraId="74803EDD" w14:textId="3A2037BC" w:rsidR="00353E62" w:rsidRDefault="0029398B">
          <w:pPr>
            <w:pStyle w:val="TOC1"/>
            <w:rPr>
              <w:rFonts w:eastAsiaTheme="minorEastAsia"/>
              <w:caps w:val="0"/>
              <w:noProof/>
              <w:sz w:val="22"/>
              <w:szCs w:val="22"/>
              <w:lang w:eastAsia="en-GB"/>
            </w:rPr>
          </w:pPr>
          <w:hyperlink w:anchor="_Toc529183397" w:history="1">
            <w:r w:rsidR="00353E62" w:rsidRPr="008E11EB">
              <w:rPr>
                <w:rStyle w:val="Hyperlink"/>
                <w:noProof/>
              </w:rPr>
              <w:t>10.</w:t>
            </w:r>
            <w:r w:rsidR="00353E62">
              <w:rPr>
                <w:rFonts w:eastAsiaTheme="minorEastAsia"/>
                <w:caps w:val="0"/>
                <w:noProof/>
                <w:sz w:val="22"/>
                <w:szCs w:val="22"/>
                <w:lang w:eastAsia="en-GB"/>
              </w:rPr>
              <w:tab/>
            </w:r>
            <w:r w:rsidR="00353E62" w:rsidRPr="008E11EB">
              <w:rPr>
                <w:rStyle w:val="Hyperlink"/>
                <w:noProof/>
              </w:rPr>
              <w:t>FURTHER INFORMATION</w:t>
            </w:r>
            <w:r w:rsidR="00353E62">
              <w:rPr>
                <w:noProof/>
                <w:webHidden/>
              </w:rPr>
              <w:tab/>
            </w:r>
            <w:r w:rsidR="00353E62">
              <w:rPr>
                <w:noProof/>
                <w:webHidden/>
              </w:rPr>
              <w:fldChar w:fldCharType="begin"/>
            </w:r>
            <w:r w:rsidR="00353E62">
              <w:rPr>
                <w:noProof/>
                <w:webHidden/>
              </w:rPr>
              <w:instrText xml:space="preserve"> PAGEREF _Toc529183397 \h </w:instrText>
            </w:r>
            <w:r w:rsidR="00353E62">
              <w:rPr>
                <w:noProof/>
                <w:webHidden/>
              </w:rPr>
            </w:r>
            <w:r w:rsidR="00353E62">
              <w:rPr>
                <w:noProof/>
                <w:webHidden/>
              </w:rPr>
              <w:fldChar w:fldCharType="separate"/>
            </w:r>
            <w:r w:rsidR="002C60D2">
              <w:rPr>
                <w:noProof/>
                <w:webHidden/>
              </w:rPr>
              <w:t>6</w:t>
            </w:r>
            <w:r w:rsidR="00353E62">
              <w:rPr>
                <w:noProof/>
                <w:webHidden/>
              </w:rPr>
              <w:fldChar w:fldCharType="end"/>
            </w:r>
          </w:hyperlink>
        </w:p>
        <w:p w14:paraId="55AC387C" w14:textId="246D2557" w:rsidR="00353E62" w:rsidRDefault="00353E62">
          <w:r>
            <w:rPr>
              <w:b/>
              <w:bCs/>
              <w:noProof/>
            </w:rPr>
            <w:fldChar w:fldCharType="end"/>
          </w:r>
        </w:p>
      </w:sdtContent>
    </w:sdt>
    <w:p w14:paraId="77C16DBF" w14:textId="77777777" w:rsidR="00AD7B3F" w:rsidRDefault="00AD7B3F">
      <w:pPr>
        <w:spacing w:before="0" w:after="200"/>
        <w:jc w:val="left"/>
        <w:rPr>
          <w:b/>
          <w:caps/>
          <w:sz w:val="28"/>
          <w:szCs w:val="28"/>
          <w:highlight w:val="lightGray"/>
        </w:rPr>
      </w:pPr>
      <w:r>
        <w:rPr>
          <w:highlight w:val="lightGray"/>
        </w:rPr>
        <w:br w:type="page"/>
      </w:r>
    </w:p>
    <w:p w14:paraId="31EADC21" w14:textId="22BA7D5F" w:rsidR="004C6BBF" w:rsidRDefault="00145EAA" w:rsidP="00145EAA">
      <w:pPr>
        <w:pStyle w:val="Heading1"/>
      </w:pPr>
      <w:bookmarkStart w:id="1" w:name="_Toc529183389"/>
      <w:bookmarkEnd w:id="0"/>
      <w:r>
        <w:lastRenderedPageBreak/>
        <w:t>INTRODUCTION</w:t>
      </w:r>
      <w:bookmarkEnd w:id="1"/>
    </w:p>
    <w:p w14:paraId="7715DCB2" w14:textId="49DACF7F" w:rsidR="00145EAA" w:rsidRDefault="00145EAA" w:rsidP="00145EAA">
      <w:pPr>
        <w:spacing w:before="0"/>
      </w:pPr>
      <w:r>
        <w:t xml:space="preserve">Admissions Policy for </w:t>
      </w:r>
      <w:r w:rsidR="00EC0E1D">
        <w:t>202</w:t>
      </w:r>
      <w:r w:rsidR="00AE4F36">
        <w:t>1/2022</w:t>
      </w:r>
      <w:r w:rsidRPr="00B736FC">
        <w:t xml:space="preserve">; </w:t>
      </w:r>
      <w:r w:rsidR="004A0AA1" w:rsidRPr="00B736FC">
        <w:t>Brambles Primary</w:t>
      </w:r>
      <w:r w:rsidR="00752BD3" w:rsidRPr="00B736FC">
        <w:t xml:space="preserve"> </w:t>
      </w:r>
      <w:r w:rsidRPr="00B736FC">
        <w:t>Academy, Tees Valley Education</w:t>
      </w:r>
      <w:r w:rsidR="00752BD3" w:rsidRPr="00B736FC">
        <w:t>.</w:t>
      </w:r>
    </w:p>
    <w:p w14:paraId="1CC08C5B" w14:textId="418BB0C1" w:rsidR="00145EAA" w:rsidRDefault="00145EAA" w:rsidP="00145EAA">
      <w:pPr>
        <w:spacing w:before="0"/>
      </w:pPr>
      <w:r>
        <w:t>Trustees of Tees Valley Education have adopted the Middlesbrough’s Admissions Policy and Coordinated Scheme.</w:t>
      </w:r>
    </w:p>
    <w:p w14:paraId="2708AEFC" w14:textId="77777777" w:rsidR="006C27B0" w:rsidRDefault="006C27B0" w:rsidP="00145EAA">
      <w:pPr>
        <w:spacing w:before="0"/>
      </w:pPr>
    </w:p>
    <w:p w14:paraId="21D543EB" w14:textId="180A4E95" w:rsidR="00145EAA" w:rsidRDefault="00145EAA" w:rsidP="00145EAA">
      <w:pPr>
        <w:pStyle w:val="Heading1"/>
      </w:pPr>
      <w:bookmarkStart w:id="2" w:name="_Toc529183390"/>
      <w:r>
        <w:t>RECEPTION ADMISSIONS</w:t>
      </w:r>
      <w:bookmarkEnd w:id="2"/>
    </w:p>
    <w:p w14:paraId="0D9B6571" w14:textId="74797658" w:rsidR="00145EAA" w:rsidRDefault="00145EAA" w:rsidP="00145EAA">
      <w:pPr>
        <w:spacing w:before="0"/>
      </w:pPr>
      <w:r>
        <w:t>The Local Authority</w:t>
      </w:r>
      <w:r w:rsidR="00752BD3">
        <w:t xml:space="preserve">, </w:t>
      </w:r>
      <w:hyperlink r:id="rId11" w:history="1">
        <w:r w:rsidR="00752BD3" w:rsidRPr="00752BD3">
          <w:rPr>
            <w:rStyle w:val="Hyperlink"/>
          </w:rPr>
          <w:t>Middlesbrough Council</w:t>
        </w:r>
      </w:hyperlink>
      <w:r>
        <w:t xml:space="preserve"> has a standard form which is used for the purpose of admitting pupils into reception classes (applications can also be made </w:t>
      </w:r>
      <w:hyperlink r:id="rId12" w:history="1">
        <w:r w:rsidRPr="00752BD3">
          <w:rPr>
            <w:rStyle w:val="Hyperlink"/>
          </w:rPr>
          <w:t>online</w:t>
        </w:r>
      </w:hyperlink>
      <w:r>
        <w:t xml:space="preserve">).  Both applications routes specify the closing date and, in the case of the paper application, the address to which the form must be returned.   This year, applications for reception places must be submitted by </w:t>
      </w:r>
      <w:r w:rsidR="00EF4AF5">
        <w:t>15th January 202</w:t>
      </w:r>
      <w:r w:rsidR="00AE4F36">
        <w:t>1</w:t>
      </w:r>
      <w:r w:rsidR="00EF4AF5">
        <w:t>.</w:t>
      </w:r>
      <w:r>
        <w:t xml:space="preserve">  Parents will be informed of the decision n</w:t>
      </w:r>
      <w:r w:rsidR="00EF4AF5">
        <w:t>o later than the 16th April 202</w:t>
      </w:r>
      <w:r w:rsidR="00AE4F36">
        <w:t>1</w:t>
      </w:r>
      <w:r>
        <w:t xml:space="preserve">.  Any appeals against decisions should be submitted as soon as possible.  In such cases, final decisions are made during June/July </w:t>
      </w:r>
      <w:r w:rsidR="00AE4F36">
        <w:t xml:space="preserve">2021, </w:t>
      </w:r>
      <w:r>
        <w:t xml:space="preserve">following independent panel hearings. </w:t>
      </w:r>
    </w:p>
    <w:p w14:paraId="1D8F5614" w14:textId="77777777" w:rsidR="00145EAA" w:rsidRDefault="00145EAA" w:rsidP="00145EAA">
      <w:pPr>
        <w:spacing w:before="0"/>
      </w:pPr>
      <w:r>
        <w:t>Application forms received after the closing date will be dealt with after all the other applications unless there is a good reason for their lateness, e.g. if a family moves into the area. In these cases, the application can be considered along with all of those that came in on time, providing the allocation of places has not already been completed.</w:t>
      </w:r>
    </w:p>
    <w:p w14:paraId="1EE5EF52" w14:textId="366910CD" w:rsidR="00145EAA" w:rsidRDefault="00145EAA" w:rsidP="00145EAA">
      <w:pPr>
        <w:spacing w:before="0"/>
      </w:pPr>
      <w:r>
        <w:t xml:space="preserve">Waiting lists for reception places continue to be maintained by the </w:t>
      </w:r>
      <w:r w:rsidR="006A7BE8">
        <w:t>Local Authority</w:t>
      </w:r>
      <w:r>
        <w:t xml:space="preserve"> until the end of the Autumn Term.   Any places that become available during this time will be allocated in accordance with the published oversubscription criteria (see below).</w:t>
      </w:r>
    </w:p>
    <w:p w14:paraId="77B65951" w14:textId="77777777" w:rsidR="006C27B0" w:rsidRDefault="006C27B0" w:rsidP="00145EAA">
      <w:pPr>
        <w:spacing w:before="0"/>
      </w:pPr>
    </w:p>
    <w:p w14:paraId="761ADD26" w14:textId="793234E3" w:rsidR="00145EAA" w:rsidRDefault="00145EAA" w:rsidP="00145EAA">
      <w:pPr>
        <w:pStyle w:val="Heading1"/>
      </w:pPr>
      <w:bookmarkStart w:id="3" w:name="_Toc529183391"/>
      <w:r>
        <w:t>MID-YEAR ADMISSIONS</w:t>
      </w:r>
      <w:bookmarkEnd w:id="3"/>
    </w:p>
    <w:p w14:paraId="7FA2FC21" w14:textId="4858BF7B" w:rsidR="00145EAA" w:rsidRDefault="00145EAA" w:rsidP="00145EAA">
      <w:pPr>
        <w:spacing w:before="0"/>
      </w:pPr>
      <w:r>
        <w:t xml:space="preserve">Applications for places in the reception class after the end of the autumn term and for other year groups are coordinated by the Local Authority. Parents should contact the </w:t>
      </w:r>
      <w:r w:rsidR="006A7BE8" w:rsidRPr="006A7BE8">
        <w:t>Local Authority</w:t>
      </w:r>
      <w:r>
        <w:t xml:space="preserve"> </w:t>
      </w:r>
      <w:hyperlink r:id="rId13" w:history="1">
        <w:r w:rsidRPr="006A7BE8">
          <w:rPr>
            <w:rStyle w:val="Hyperlink"/>
          </w:rPr>
          <w:t>Admissions Team</w:t>
        </w:r>
      </w:hyperlink>
      <w:r>
        <w:t xml:space="preserve"> or the </w:t>
      </w:r>
      <w:r w:rsidRPr="00D33E7B">
        <w:t>academy</w:t>
      </w:r>
      <w:r w:rsidR="006A7BE8" w:rsidRPr="00D33E7B">
        <w:t xml:space="preserve"> (</w:t>
      </w:r>
      <w:r w:rsidR="00D33E7B" w:rsidRPr="00D33E7B">
        <w:t>01642 210704</w:t>
      </w:r>
      <w:r w:rsidR="006A7BE8" w:rsidRPr="00D33E7B">
        <w:t>)</w:t>
      </w:r>
      <w:r w:rsidRPr="00D33E7B">
        <w:t xml:space="preserve"> to enquire abo</w:t>
      </w:r>
      <w:r>
        <w:t xml:space="preserve">ut the availability of places and to request a ‘Mid-Year Preference Form’ (MYPF).  Once completed, this form should be returned to the </w:t>
      </w:r>
      <w:r w:rsidR="006A7BE8" w:rsidRPr="006A7BE8">
        <w:t>Local Authority</w:t>
      </w:r>
      <w:r>
        <w:t xml:space="preserve"> Admissions Team within five school days. If the form is not returned during this period, the parent will be contacted by the Admissions Team.  Wherever possible, children should continue to attend their current school/academy until the transfer has been considered and agreed.  Failure to return the form within the five days whilst children are not attending a school may mean that the </w:t>
      </w:r>
      <w:hyperlink r:id="rId14" w:history="1">
        <w:r w:rsidRPr="006A7BE8">
          <w:rPr>
            <w:rStyle w:val="Hyperlink"/>
          </w:rPr>
          <w:t>Children Missing Education</w:t>
        </w:r>
      </w:hyperlink>
      <w:r>
        <w:t xml:space="preserve"> </w:t>
      </w:r>
      <w:hyperlink r:id="rId15" w:history="1">
        <w:r w:rsidRPr="009F71B4">
          <w:rPr>
            <w:rStyle w:val="Hyperlink"/>
          </w:rPr>
          <w:t>Officer and Education Welfare Service</w:t>
        </w:r>
      </w:hyperlink>
      <w:r>
        <w:t xml:space="preserve"> will be informed. </w:t>
      </w:r>
    </w:p>
    <w:p w14:paraId="2AAF6B9C" w14:textId="14C32026" w:rsidR="00145EAA" w:rsidRDefault="00145EAA" w:rsidP="00145EAA">
      <w:pPr>
        <w:spacing w:before="0"/>
      </w:pPr>
      <w:r>
        <w:t xml:space="preserve">Prior to making an application to the academy, parents are encouraged to visit and should contact the academy </w:t>
      </w:r>
      <w:r w:rsidRPr="00D33E7B">
        <w:t>office (</w:t>
      </w:r>
      <w:r w:rsidR="00D33E7B" w:rsidRPr="00D33E7B">
        <w:t>01642 210704</w:t>
      </w:r>
      <w:r w:rsidRPr="00D33E7B">
        <w:t>) to make arrange</w:t>
      </w:r>
      <w:r>
        <w:t>ments.  If a parent wishes to submit a MYPF during their visit to the academy, the administrative team will be happy to forward the form to the LA on their behalf.</w:t>
      </w:r>
    </w:p>
    <w:p w14:paraId="26C00F9F" w14:textId="1C21638B" w:rsidR="00145EAA" w:rsidRDefault="00145EAA" w:rsidP="00145EAA">
      <w:pPr>
        <w:spacing w:before="0"/>
      </w:pPr>
      <w:r>
        <w:t xml:space="preserve">The MYPF gives parents an opportunity to express up to three preferences and give their reasons for each preference. All preferences expressed will be considered on an equal weighting basis. Where a pupil is eligible for more than one place, they will be offered the highest ranked preference that has available places by the </w:t>
      </w:r>
      <w:r w:rsidR="009F71B4" w:rsidRPr="009F71B4">
        <w:t>Local Authority</w:t>
      </w:r>
      <w:r w:rsidRPr="009F71B4">
        <w:t xml:space="preserve"> </w:t>
      </w:r>
      <w:r>
        <w:t xml:space="preserve">as the admissions authority, or on behalf of another </w:t>
      </w:r>
      <w:r w:rsidR="009F71B4" w:rsidRPr="009F71B4">
        <w:t>Local Authority</w:t>
      </w:r>
      <w:r w:rsidRPr="009F71B4">
        <w:t xml:space="preserve"> </w:t>
      </w:r>
      <w:r>
        <w:t xml:space="preserve">or the admissions </w:t>
      </w:r>
      <w:r>
        <w:lastRenderedPageBreak/>
        <w:t xml:space="preserve">authority of a </w:t>
      </w:r>
      <w:r w:rsidR="009F71B4">
        <w:t>Voluntary Aided</w:t>
      </w:r>
      <w:r>
        <w:t>, Foundation School or Academy. If a place cannot be offered at a preferred school/academy, a place will be offered at the nearest alternative school that has places available.</w:t>
      </w:r>
    </w:p>
    <w:p w14:paraId="31241955" w14:textId="4A8899BD" w:rsidR="00145EAA" w:rsidRPr="00D33E7B" w:rsidRDefault="00145EAA" w:rsidP="00145EAA">
      <w:pPr>
        <w:spacing w:before="0"/>
      </w:pPr>
      <w:r w:rsidRPr="00D33E7B">
        <w:t xml:space="preserve">The offer of a place is made by the </w:t>
      </w:r>
      <w:r w:rsidR="009F71B4" w:rsidRPr="00D33E7B">
        <w:t>Local Authority</w:t>
      </w:r>
      <w:r w:rsidRPr="00D33E7B">
        <w:t xml:space="preserve"> Admissions Team and pupils will not be admitted to </w:t>
      </w:r>
      <w:r w:rsidR="00D33E7B" w:rsidRPr="00D33E7B">
        <w:t>Brambles</w:t>
      </w:r>
      <w:r w:rsidR="009F71B4" w:rsidRPr="00D33E7B">
        <w:t xml:space="preserve"> </w:t>
      </w:r>
      <w:r w:rsidRPr="00D33E7B">
        <w:t xml:space="preserve">Primary Academy until a place has been confirmed with the academy. </w:t>
      </w:r>
    </w:p>
    <w:p w14:paraId="50ECB229" w14:textId="543A4351" w:rsidR="00145EAA" w:rsidRDefault="00145EAA" w:rsidP="00145EAA">
      <w:pPr>
        <w:spacing w:before="0"/>
      </w:pPr>
      <w:r w:rsidRPr="00D33E7B">
        <w:t xml:space="preserve">If a pupil wishing to attend </w:t>
      </w:r>
      <w:r w:rsidR="00D33E7B" w:rsidRPr="00D33E7B">
        <w:t>Brambles</w:t>
      </w:r>
      <w:r w:rsidRPr="00D33E7B">
        <w:t xml:space="preserve"> Primary Academy</w:t>
      </w:r>
      <w:r>
        <w:t xml:space="preserve"> already attends a Middlesbrough primary school/academy, parents should, in the first instance, discuss the transfer with the pupil’s current school/academy. If, following this discussion, they still want the transfer to proceed, they should then contact the </w:t>
      </w:r>
      <w:hyperlink r:id="rId16" w:history="1">
        <w:r w:rsidR="009F71B4" w:rsidRPr="009F71B4">
          <w:rPr>
            <w:rStyle w:val="Hyperlink"/>
          </w:rPr>
          <w:t>Local Authority</w:t>
        </w:r>
        <w:r w:rsidRPr="009F71B4">
          <w:rPr>
            <w:rStyle w:val="Hyperlink"/>
          </w:rPr>
          <w:t xml:space="preserve"> Admissions Team</w:t>
        </w:r>
      </w:hyperlink>
      <w:r>
        <w:t xml:space="preserve"> to request a MYPF. The parent/carer should return the form to the </w:t>
      </w:r>
      <w:r w:rsidR="009F71B4" w:rsidRPr="009F71B4">
        <w:t>Local Authority</w:t>
      </w:r>
      <w:r w:rsidRPr="009F71B4">
        <w:t xml:space="preserve"> </w:t>
      </w:r>
      <w:r>
        <w:t xml:space="preserve">within five school days. The </w:t>
      </w:r>
      <w:r w:rsidR="009F71B4" w:rsidRPr="009F71B4">
        <w:t>Local Authority</w:t>
      </w:r>
      <w:r w:rsidRPr="009F71B4">
        <w:t xml:space="preserve"> </w:t>
      </w:r>
      <w:r>
        <w:t>will then contact the academy to confirm whether there is a place available.  In the event that a place is available, then a start date will be agreed.</w:t>
      </w:r>
    </w:p>
    <w:p w14:paraId="237BB865" w14:textId="4C8F1CF6" w:rsidR="00145EAA" w:rsidRDefault="00145EAA" w:rsidP="00145EAA">
      <w:pPr>
        <w:spacing w:before="0"/>
      </w:pPr>
      <w:r w:rsidRPr="00D33E7B">
        <w:t xml:space="preserve">If </w:t>
      </w:r>
      <w:r w:rsidR="00D33E7B" w:rsidRPr="00D33E7B">
        <w:t>Brambles</w:t>
      </w:r>
      <w:r w:rsidRPr="00D33E7B">
        <w:t xml:space="preserve"> Primary Academy has reached its admission limit, and is unable to admit further pupils, a place will be refused and the parent/carers will be informed</w:t>
      </w:r>
      <w:r>
        <w:t xml:space="preserve"> of their right to appeal against the decision and be issued with appeal forms.  In exceptional circumstances, the academy may refuse to admit a pupil even when there are places available. Again, parents have a right of appeal against this decision.  Information on the </w:t>
      </w:r>
      <w:hyperlink r:id="rId17" w:history="1">
        <w:r w:rsidRPr="009F71B4">
          <w:rPr>
            <w:rStyle w:val="Hyperlink"/>
          </w:rPr>
          <w:t>appeals process</w:t>
        </w:r>
      </w:hyperlink>
      <w:r>
        <w:t xml:space="preserve"> is included in the correspondence from the </w:t>
      </w:r>
      <w:r w:rsidR="003D2569">
        <w:t>Local Authority</w:t>
      </w:r>
      <w:r>
        <w:t xml:space="preserve"> Admissions Team.</w:t>
      </w:r>
    </w:p>
    <w:p w14:paraId="2A50BF5C" w14:textId="77777777" w:rsidR="003D2569" w:rsidRDefault="003D2569" w:rsidP="00145EAA">
      <w:pPr>
        <w:spacing w:before="0"/>
      </w:pPr>
    </w:p>
    <w:p w14:paraId="5C5DCAF0" w14:textId="64072A95" w:rsidR="00145EAA" w:rsidRPr="00145EAA" w:rsidRDefault="00145EAA" w:rsidP="00145EAA">
      <w:pPr>
        <w:pStyle w:val="Heading1"/>
      </w:pPr>
      <w:bookmarkStart w:id="4" w:name="_Toc529183392"/>
      <w:r w:rsidRPr="00145EAA">
        <w:t>IMPORTANT ADDITIONAL INFORMATION</w:t>
      </w:r>
      <w:bookmarkEnd w:id="4"/>
    </w:p>
    <w:p w14:paraId="153F47A2" w14:textId="1296F6F6" w:rsidR="00145EAA" w:rsidRDefault="00145EAA" w:rsidP="00145EAA">
      <w:pPr>
        <w:spacing w:before="0"/>
      </w:pPr>
      <w:r>
        <w:t>It is important that parents ensure that the correct forms are used in all applications as those not presented on the agreed forms will not be considered unless the parent has also completed either the Middlesbrough paper or online application or, if resident in another area, their home area’s application form upon which the academy is nominated.</w:t>
      </w:r>
    </w:p>
    <w:p w14:paraId="448CEF4B" w14:textId="77777777" w:rsidR="003D2569" w:rsidRDefault="003D2569" w:rsidP="00145EAA">
      <w:pPr>
        <w:spacing w:before="0"/>
      </w:pPr>
    </w:p>
    <w:p w14:paraId="37ABE1A7" w14:textId="708F5A57" w:rsidR="00145EAA" w:rsidRPr="00145EAA" w:rsidRDefault="00145EAA" w:rsidP="00145EAA">
      <w:pPr>
        <w:pStyle w:val="Heading1"/>
      </w:pPr>
      <w:bookmarkStart w:id="5" w:name="_Toc529183393"/>
      <w:r w:rsidRPr="00145EAA">
        <w:rPr>
          <w:rStyle w:val="Heading1Char"/>
          <w:b/>
        </w:rPr>
        <w:t>PRIMARY ADMISSIONS - DETERMINING OFFERS IN RESPONSE TO APPLICATIONS</w:t>
      </w:r>
      <w:r w:rsidRPr="00145EAA">
        <w:t>.</w:t>
      </w:r>
      <w:bookmarkEnd w:id="5"/>
    </w:p>
    <w:p w14:paraId="57FC884D" w14:textId="3D8CC6F5" w:rsidR="00145EAA" w:rsidRDefault="00145EAA" w:rsidP="00145EAA">
      <w:pPr>
        <w:spacing w:before="0"/>
      </w:pPr>
      <w:r>
        <w:t xml:space="preserve">The </w:t>
      </w:r>
      <w:r w:rsidR="003D2569" w:rsidRPr="003D2569">
        <w:t>Local Authority</w:t>
      </w:r>
      <w:r w:rsidRPr="003D2569">
        <w:t xml:space="preserve"> </w:t>
      </w:r>
      <w:r>
        <w:t xml:space="preserve">will act as a clearing house for the allocation of mainstream places by the relevant admission authorities. The </w:t>
      </w:r>
      <w:r w:rsidR="003D2569" w:rsidRPr="003D2569">
        <w:t>Local Authority</w:t>
      </w:r>
      <w:r w:rsidRPr="003D2569">
        <w:t xml:space="preserve"> </w:t>
      </w:r>
      <w:r>
        <w:t>will only make any decision with respect to the offer or refusal of a place in response to any preference expressed where:</w:t>
      </w:r>
    </w:p>
    <w:p w14:paraId="0E05DA80" w14:textId="77777777" w:rsidR="00145EAA" w:rsidRDefault="00145EAA" w:rsidP="00145EAA">
      <w:pPr>
        <w:spacing w:before="0"/>
      </w:pPr>
      <w:r>
        <w:t xml:space="preserve">(a) it is acting in its separate capacity as an admission authority; or </w:t>
      </w:r>
    </w:p>
    <w:p w14:paraId="119C22E4" w14:textId="77777777" w:rsidR="00145EAA" w:rsidRDefault="00145EAA" w:rsidP="00145EAA">
      <w:pPr>
        <w:spacing w:before="0"/>
      </w:pPr>
      <w:r>
        <w:t>(b) an applicant is eligible for a place at more than one school, or</w:t>
      </w:r>
    </w:p>
    <w:p w14:paraId="2DF335C2" w14:textId="7FE20596" w:rsidR="00145EAA" w:rsidRDefault="00145EAA" w:rsidP="00145EAA">
      <w:pPr>
        <w:spacing w:before="0"/>
      </w:pPr>
      <w:r>
        <w:t>(c) an applicant is not eligible for a place at any school that the parent has nominated.</w:t>
      </w:r>
    </w:p>
    <w:p w14:paraId="1CFD5A3C" w14:textId="765758D7" w:rsidR="003D2569" w:rsidRDefault="003D2569" w:rsidP="00145EAA">
      <w:pPr>
        <w:spacing w:before="0"/>
      </w:pPr>
    </w:p>
    <w:p w14:paraId="0FF8150A" w14:textId="48AF0296" w:rsidR="006C27B0" w:rsidRDefault="006C27B0" w:rsidP="00145EAA">
      <w:pPr>
        <w:spacing w:before="0"/>
      </w:pPr>
    </w:p>
    <w:p w14:paraId="7D031F1D" w14:textId="6103023F" w:rsidR="006C27B0" w:rsidRDefault="006C27B0" w:rsidP="00145EAA">
      <w:pPr>
        <w:spacing w:before="0"/>
      </w:pPr>
    </w:p>
    <w:p w14:paraId="4B7A23BF" w14:textId="3F39EA90" w:rsidR="006C27B0" w:rsidRDefault="006C27B0" w:rsidP="00145EAA">
      <w:pPr>
        <w:spacing w:before="0"/>
      </w:pPr>
    </w:p>
    <w:p w14:paraId="2BE8758C" w14:textId="3F7C6DF2" w:rsidR="006C27B0" w:rsidRDefault="006C27B0" w:rsidP="00145EAA">
      <w:pPr>
        <w:spacing w:before="0"/>
      </w:pPr>
    </w:p>
    <w:p w14:paraId="2392A380" w14:textId="77777777" w:rsidR="00D33E7B" w:rsidRDefault="00D33E7B" w:rsidP="00145EAA">
      <w:pPr>
        <w:spacing w:before="0"/>
      </w:pPr>
    </w:p>
    <w:p w14:paraId="66621E67" w14:textId="32BDD8AE" w:rsidR="00145EAA" w:rsidRDefault="00145EAA" w:rsidP="00145EAA">
      <w:pPr>
        <w:pStyle w:val="Heading1"/>
      </w:pPr>
      <w:bookmarkStart w:id="6" w:name="_Toc529183394"/>
      <w:r>
        <w:lastRenderedPageBreak/>
        <w:t>ADMISSI</w:t>
      </w:r>
      <w:r w:rsidR="003D2569">
        <w:t>ON NUMBER FOR 20</w:t>
      </w:r>
      <w:r w:rsidR="00EC0E1D">
        <w:t>2</w:t>
      </w:r>
      <w:r w:rsidR="00AB7BEF">
        <w:t>1</w:t>
      </w:r>
      <w:r>
        <w:t xml:space="preserve"> / 20</w:t>
      </w:r>
      <w:bookmarkEnd w:id="6"/>
      <w:r w:rsidR="00AB7BEF">
        <w:t>22</w:t>
      </w:r>
    </w:p>
    <w:p w14:paraId="5D3547D5" w14:textId="77777777" w:rsidR="00145EAA" w:rsidRDefault="00145EAA" w:rsidP="00145EAA">
      <w:pPr>
        <w:spacing w:before="0"/>
      </w:pPr>
      <w:r>
        <w:t>Admission numbers are set with regard to the assessed capacity of schools.</w:t>
      </w:r>
    </w:p>
    <w:p w14:paraId="60119E3A" w14:textId="7DCFEF3F" w:rsidR="00145EAA" w:rsidRDefault="00145EAA" w:rsidP="00145EAA">
      <w:pPr>
        <w:spacing w:before="0"/>
      </w:pPr>
      <w:r>
        <w:t>However, these numbers may vary depending upon future plans and developments which impact on the physical capacity of the academy</w:t>
      </w:r>
      <w:r w:rsidR="003D2569">
        <w:t>.</w:t>
      </w:r>
    </w:p>
    <w:p w14:paraId="1EF00DD6" w14:textId="6AA75FC5" w:rsidR="00145EAA" w:rsidRDefault="00D33E7B" w:rsidP="00145EAA">
      <w:pPr>
        <w:spacing w:before="0"/>
      </w:pPr>
      <w:r>
        <w:t>Brambles Primary Academy</w:t>
      </w:r>
      <w:r w:rsidR="00145EAA">
        <w:t xml:space="preserve"> can currently admit </w:t>
      </w:r>
      <w:r>
        <w:t>01642 210704</w:t>
      </w:r>
      <w:r w:rsidR="00145EAA">
        <w:t xml:space="preserve"> mainstream children into each year group.  Where there are more applications made than places available, then all places are allocated using the following over-subscription criteria.</w:t>
      </w:r>
    </w:p>
    <w:p w14:paraId="2EEAD037" w14:textId="77777777" w:rsidR="006C27B0" w:rsidRDefault="006C27B0" w:rsidP="00145EAA">
      <w:pPr>
        <w:spacing w:before="0"/>
      </w:pPr>
    </w:p>
    <w:p w14:paraId="7A4F7A65" w14:textId="64FA73EE" w:rsidR="00145EAA" w:rsidRDefault="00145EAA" w:rsidP="00145EAA">
      <w:pPr>
        <w:pStyle w:val="Heading1"/>
      </w:pPr>
      <w:bookmarkStart w:id="7" w:name="_Toc529183395"/>
      <w:r>
        <w:t>OVER-SUBSCRIPTION CRITERIA</w:t>
      </w:r>
      <w:bookmarkEnd w:id="7"/>
    </w:p>
    <w:p w14:paraId="5617629C" w14:textId="1594902A" w:rsidR="00145EAA" w:rsidRDefault="00145EAA" w:rsidP="00145EAA">
      <w:pPr>
        <w:spacing w:before="0"/>
      </w:pPr>
      <w:r>
        <w:t>(a) children who are cared for by the Local Authority</w:t>
      </w:r>
      <w:r w:rsidR="003D2569">
        <w:t>.</w:t>
      </w:r>
    </w:p>
    <w:p w14:paraId="7044B4EF" w14:textId="77777777" w:rsidR="002932D9" w:rsidRPr="00D33E7B" w:rsidRDefault="002932D9" w:rsidP="002932D9">
      <w:pPr>
        <w:spacing w:before="0"/>
      </w:pPr>
      <w:r w:rsidRPr="00D33E7B">
        <w:t>Children who are a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 See Note 1</w:t>
      </w:r>
    </w:p>
    <w:p w14:paraId="6258054F" w14:textId="1BD35BCE" w:rsidR="002932D9" w:rsidRPr="00D33E7B" w:rsidRDefault="002932D9" w:rsidP="002932D9">
      <w:pPr>
        <w:spacing w:before="0"/>
      </w:pPr>
    </w:p>
    <w:p w14:paraId="65D09E62" w14:textId="77777777" w:rsidR="002932D9" w:rsidRPr="002932D9" w:rsidRDefault="002932D9" w:rsidP="002932D9">
      <w:pPr>
        <w:spacing w:before="0"/>
        <w:rPr>
          <w:i/>
        </w:rPr>
      </w:pPr>
      <w:r w:rsidRPr="00D33E7B">
        <w:rPr>
          <w:i/>
        </w:rPr>
        <w:t>Note 1. Relevant evidence must be provided such as copy of the adoption certificate or court order plus details of when and where the child was in care and names and contact details of social workers involved.  If relevant evidence is not provided the child cannot be considered under this criteria</w:t>
      </w:r>
    </w:p>
    <w:p w14:paraId="363E647D" w14:textId="0F590B04" w:rsidR="00145EAA" w:rsidRDefault="002932D9" w:rsidP="002932D9">
      <w:pPr>
        <w:spacing w:before="0"/>
      </w:pPr>
      <w:r>
        <w:t xml:space="preserve"> </w:t>
      </w:r>
      <w:r w:rsidR="00145EAA">
        <w:t>(b) children who are permanently resident in the admission zone defined for the academy.</w:t>
      </w:r>
    </w:p>
    <w:p w14:paraId="12A1EAD3" w14:textId="77777777" w:rsidR="00145EAA" w:rsidRDefault="00145EAA" w:rsidP="00145EAA">
      <w:pPr>
        <w:spacing w:before="0"/>
      </w:pPr>
      <w:r>
        <w:t>For the purposes of determining whether a child lives within the admission zone, only the address at which the parent/guardian ordinarily resides and with whom the child normally lives will be taken into account. If parents are separated and the child lives for periods of time with both parents, the address used will be of the parent who receives child benefit for the child. You may be asked to provide proof. Short term tenancies entered into with the prime objective of securing admission for a child at a particular school will not qualify as places of ordinary residence.</w:t>
      </w:r>
    </w:p>
    <w:p w14:paraId="68BA6B34" w14:textId="0CE9DA58" w:rsidR="00145EAA" w:rsidRDefault="00145EAA" w:rsidP="00145EAA">
      <w:pPr>
        <w:spacing w:before="0"/>
      </w:pPr>
      <w:r>
        <w:t xml:space="preserve">The </w:t>
      </w:r>
      <w:r w:rsidR="003D2569">
        <w:t xml:space="preserve">Local </w:t>
      </w:r>
      <w:r>
        <w:t xml:space="preserve">Authority will take action should false information be submitted in order to secure a place at a particular school/academy. </w:t>
      </w:r>
    </w:p>
    <w:p w14:paraId="52AF9FD4" w14:textId="5CEA9244" w:rsidR="00145EAA" w:rsidRDefault="00145EAA" w:rsidP="00145EAA">
      <w:pPr>
        <w:spacing w:before="0"/>
      </w:pPr>
      <w:r>
        <w:t xml:space="preserve">(c) children not living in the admission zone who have elder brothers or sisters attending the academy in the </w:t>
      </w:r>
      <w:r w:rsidR="0091605C">
        <w:t>20</w:t>
      </w:r>
      <w:r w:rsidR="00914C94">
        <w:t>20/2021</w:t>
      </w:r>
      <w:r>
        <w:t xml:space="preserve"> school year. </w:t>
      </w:r>
    </w:p>
    <w:p w14:paraId="36935E1C" w14:textId="39029E53" w:rsidR="00145EAA" w:rsidRDefault="00145EAA" w:rsidP="00145EAA">
      <w:pPr>
        <w:spacing w:before="0"/>
      </w:pPr>
      <w:r>
        <w:t xml:space="preserve">Brothers and sisters and step brothers and sisters will qualify under this criterion as long as they both live at the same permanent address and the elder sibling is still attending the academy in the </w:t>
      </w:r>
      <w:r w:rsidR="00EC0E1D">
        <w:t>202</w:t>
      </w:r>
      <w:r w:rsidR="00914C94">
        <w:t>1/2022</w:t>
      </w:r>
      <w:r>
        <w:t xml:space="preserve"> school year.</w:t>
      </w:r>
    </w:p>
    <w:p w14:paraId="4E8E26B2" w14:textId="77777777" w:rsidR="00145EAA" w:rsidRDefault="00145EAA" w:rsidP="00145EAA">
      <w:pPr>
        <w:spacing w:before="0"/>
      </w:pPr>
      <w:r>
        <w:t>Sibling refers to brother or sister, half brother or sister, adopted brother or sister, step brother or sister, or the child of the parent/carer’s partner where the child for whom the place is sought is living in the same family unit at the same address as that sibling.</w:t>
      </w:r>
      <w:bookmarkStart w:id="8" w:name="_GoBack"/>
      <w:bookmarkEnd w:id="8"/>
    </w:p>
    <w:p w14:paraId="3E6F624A" w14:textId="77777777" w:rsidR="00145EAA" w:rsidRDefault="00145EAA" w:rsidP="00145EAA">
      <w:pPr>
        <w:spacing w:before="0"/>
      </w:pPr>
      <w:r>
        <w:lastRenderedPageBreak/>
        <w:t>(d) children not living within the admission zone who have exceptional social and/or medical reasons for attending a particular school/academy, professionally supported by an independent third party and sustained by the authority’s professional advisors.</w:t>
      </w:r>
    </w:p>
    <w:p w14:paraId="521A92BD" w14:textId="504ED133" w:rsidR="00145EAA" w:rsidRDefault="00145EAA" w:rsidP="00145EAA">
      <w:pPr>
        <w:spacing w:before="0"/>
      </w:pPr>
      <w:r>
        <w:t>Social reasons generally do not include domestic circumstances such as parents’ working commitments, childcare arrangements, separation from friends.</w:t>
      </w:r>
    </w:p>
    <w:p w14:paraId="607C3F0A" w14:textId="77777777" w:rsidR="00145EAA" w:rsidRDefault="00145EAA" w:rsidP="00145EAA">
      <w:pPr>
        <w:spacing w:before="0"/>
      </w:pPr>
      <w:r>
        <w:t>In the case of medical reasons, evidence would need to demonstrate the exceptional long-term nature of the condition. All mainstream schools are able to cater for a wide range of medical needs which may be encountered by children.</w:t>
      </w:r>
    </w:p>
    <w:p w14:paraId="198B4F6E" w14:textId="77777777" w:rsidR="00145EAA" w:rsidRDefault="00145EAA" w:rsidP="00145EAA">
      <w:pPr>
        <w:spacing w:before="0"/>
      </w:pPr>
      <w:r>
        <w:t xml:space="preserve">You are strongly urged to provide independent third party information (e.g. from a professional person who knows or is involved with your child) in support of any exceptional long term medical or social reason as to why you think your child should be given special consideration for placement in a particular school. This written support must make clear why the preferred school is the only school which could meet your child’s needs.  </w:t>
      </w:r>
    </w:p>
    <w:p w14:paraId="1072FEEA" w14:textId="77777777" w:rsidR="00145EAA" w:rsidRDefault="00145EAA" w:rsidP="00145EAA">
      <w:pPr>
        <w:spacing w:before="0"/>
      </w:pPr>
      <w:r>
        <w:t>The submission of independent information will not automatically guarantee a place under this criterion. However, the evidence will be carefully considered by the authority’s professional advisors as to whether or not your application falls into this category.</w:t>
      </w:r>
    </w:p>
    <w:p w14:paraId="26AA0338" w14:textId="0434ED88" w:rsidR="00145EAA" w:rsidRDefault="00145EAA" w:rsidP="00145EAA">
      <w:pPr>
        <w:spacing w:before="0"/>
      </w:pPr>
      <w:r>
        <w:t>(e) children living closest to the school</w:t>
      </w:r>
      <w:r w:rsidR="00E91335">
        <w:t>.</w:t>
      </w:r>
    </w:p>
    <w:p w14:paraId="634A3543" w14:textId="6194A8F5" w:rsidR="00145EAA" w:rsidRDefault="00145EAA" w:rsidP="00145EAA">
      <w:pPr>
        <w:spacing w:before="0"/>
      </w:pPr>
      <w:r>
        <w:t>The distance from home to school will be measured by computer on a straight line basis using the number and postcode of the house and the postcode of the school.</w:t>
      </w:r>
    </w:p>
    <w:p w14:paraId="1F22A31C" w14:textId="77777777" w:rsidR="003D2569" w:rsidRDefault="003D2569" w:rsidP="00145EAA">
      <w:pPr>
        <w:spacing w:before="0"/>
      </w:pPr>
    </w:p>
    <w:p w14:paraId="30EA34D7" w14:textId="06273AF3" w:rsidR="00145EAA" w:rsidRDefault="00145EAA" w:rsidP="00145EAA">
      <w:pPr>
        <w:pStyle w:val="Heading1"/>
      </w:pPr>
      <w:bookmarkStart w:id="9" w:name="_Toc529183396"/>
      <w:r>
        <w:t>T I E - B R E A K</w:t>
      </w:r>
      <w:bookmarkEnd w:id="9"/>
    </w:p>
    <w:p w14:paraId="23F9EC5B" w14:textId="77777777" w:rsidR="00145EAA" w:rsidRDefault="00145EAA" w:rsidP="00145EAA">
      <w:pPr>
        <w:spacing w:before="0"/>
      </w:pPr>
      <w:r>
        <w:t>If it is necessary to distinguish between children within categories (a)-(d), places will be offered using the criteria listed above in priority order and determined by criteria (e) - measurement on a straight line basis using the number and postcode of the house and the postcode of the school.</w:t>
      </w:r>
    </w:p>
    <w:p w14:paraId="6ECFFB67" w14:textId="679D14AA" w:rsidR="00085D4F" w:rsidRDefault="00145EAA" w:rsidP="00145EAA">
      <w:pPr>
        <w:spacing w:before="0"/>
      </w:pPr>
      <w:r>
        <w:t>In the case of a tie break in category (e), the final allocation will be determined using the shortest walking route using the number and postcode of the house and the postcode of the school.</w:t>
      </w:r>
    </w:p>
    <w:p w14:paraId="102EB965" w14:textId="6B0DFD90" w:rsidR="00353E62" w:rsidRDefault="00353E62" w:rsidP="00145EAA">
      <w:pPr>
        <w:spacing w:before="0"/>
      </w:pPr>
    </w:p>
    <w:p w14:paraId="070C5E4C" w14:textId="5EE673C6" w:rsidR="00353E62" w:rsidRDefault="00353E62" w:rsidP="00353E62">
      <w:pPr>
        <w:pStyle w:val="Heading1"/>
      </w:pPr>
      <w:bookmarkStart w:id="10" w:name="_Toc529183397"/>
      <w:r>
        <w:t>FURTHER INFORMATION</w:t>
      </w:r>
      <w:bookmarkEnd w:id="10"/>
    </w:p>
    <w:p w14:paraId="00F7D7E3" w14:textId="0C9F7742" w:rsidR="00353E62" w:rsidRDefault="00353E62" w:rsidP="00353E62">
      <w:r>
        <w:t>Further information can be sought directly from Middlesbrough Council admissions teams:</w:t>
      </w:r>
    </w:p>
    <w:p w14:paraId="24D59295" w14:textId="77777777" w:rsidR="00353E62" w:rsidRPr="00353E62" w:rsidRDefault="00353E62" w:rsidP="00353E62">
      <w:pPr>
        <w:pStyle w:val="NormalWeb"/>
        <w:spacing w:before="0" w:beforeAutospacing="0" w:after="150" w:afterAutospacing="0"/>
        <w:rPr>
          <w:rFonts w:asciiTheme="minorHAnsi" w:hAnsiTheme="minorHAnsi" w:cstheme="minorHAnsi"/>
          <w:color w:val="000000"/>
          <w:sz w:val="21"/>
          <w:szCs w:val="21"/>
        </w:rPr>
      </w:pPr>
      <w:r w:rsidRPr="00353E62">
        <w:rPr>
          <w:rStyle w:val="Strong"/>
          <w:rFonts w:asciiTheme="minorHAnsi" w:hAnsiTheme="minorHAnsi" w:cstheme="minorHAnsi"/>
          <w:color w:val="000000"/>
          <w:sz w:val="21"/>
          <w:szCs w:val="21"/>
        </w:rPr>
        <w:t>Helen Oliver</w:t>
      </w:r>
      <w:r w:rsidRPr="00353E62">
        <w:rPr>
          <w:rFonts w:asciiTheme="minorHAnsi" w:hAnsiTheme="minorHAnsi" w:cstheme="minorHAnsi"/>
          <w:color w:val="000000"/>
          <w:sz w:val="21"/>
          <w:szCs w:val="21"/>
        </w:rPr>
        <w:br/>
        <w:t>School Admissions Manager</w:t>
      </w:r>
      <w:r w:rsidRPr="00353E62">
        <w:rPr>
          <w:rFonts w:asciiTheme="minorHAnsi" w:hAnsiTheme="minorHAnsi" w:cstheme="minorHAnsi"/>
          <w:color w:val="000000"/>
          <w:sz w:val="21"/>
          <w:szCs w:val="21"/>
        </w:rPr>
        <w:br/>
      </w:r>
      <w:r w:rsidRPr="00353E62">
        <w:rPr>
          <w:rStyle w:val="Strong"/>
          <w:rFonts w:asciiTheme="minorHAnsi" w:hAnsiTheme="minorHAnsi" w:cstheme="minorHAnsi"/>
          <w:color w:val="000000"/>
          <w:sz w:val="21"/>
          <w:szCs w:val="21"/>
        </w:rPr>
        <w:t>Phone</w:t>
      </w:r>
      <w:r w:rsidRPr="00353E62">
        <w:rPr>
          <w:rFonts w:asciiTheme="minorHAnsi" w:hAnsiTheme="minorHAnsi" w:cstheme="minorHAnsi"/>
          <w:color w:val="000000"/>
          <w:sz w:val="21"/>
          <w:szCs w:val="21"/>
        </w:rPr>
        <w:t>: 01642 201889</w:t>
      </w:r>
    </w:p>
    <w:p w14:paraId="3065126E" w14:textId="544E6710" w:rsidR="00353E62" w:rsidRPr="00353E62" w:rsidRDefault="00353E62" w:rsidP="00353E62">
      <w:pPr>
        <w:pStyle w:val="NormalWeb"/>
        <w:spacing w:before="0" w:beforeAutospacing="0" w:after="150" w:afterAutospacing="0"/>
        <w:rPr>
          <w:rFonts w:asciiTheme="minorHAnsi" w:hAnsiTheme="minorHAnsi" w:cstheme="minorHAnsi"/>
          <w:color w:val="000000"/>
          <w:sz w:val="21"/>
          <w:szCs w:val="21"/>
        </w:rPr>
      </w:pPr>
      <w:r w:rsidRPr="00353E62">
        <w:rPr>
          <w:rStyle w:val="Strong"/>
          <w:rFonts w:asciiTheme="minorHAnsi" w:hAnsiTheme="minorHAnsi" w:cstheme="minorHAnsi"/>
          <w:color w:val="000000"/>
          <w:sz w:val="21"/>
          <w:szCs w:val="21"/>
        </w:rPr>
        <w:t>Christopher Rumsey</w:t>
      </w:r>
      <w:r w:rsidRPr="00353E62">
        <w:rPr>
          <w:rFonts w:asciiTheme="minorHAnsi" w:hAnsiTheme="minorHAnsi" w:cstheme="minorHAnsi"/>
          <w:color w:val="000000"/>
          <w:sz w:val="21"/>
          <w:szCs w:val="21"/>
        </w:rPr>
        <w:br/>
        <w:t xml:space="preserve">Admissions Officer </w:t>
      </w:r>
      <w:r w:rsidR="00582371">
        <w:rPr>
          <w:rFonts w:asciiTheme="minorHAnsi" w:hAnsiTheme="minorHAnsi" w:cstheme="minorHAnsi"/>
          <w:color w:val="000000"/>
          <w:sz w:val="21"/>
          <w:szCs w:val="21"/>
        </w:rPr>
        <w:t>–</w:t>
      </w:r>
      <w:r w:rsidRPr="00353E62">
        <w:rPr>
          <w:rFonts w:asciiTheme="minorHAnsi" w:hAnsiTheme="minorHAnsi" w:cstheme="minorHAnsi"/>
          <w:color w:val="000000"/>
          <w:sz w:val="21"/>
          <w:szCs w:val="21"/>
        </w:rPr>
        <w:t xml:space="preserve"> </w:t>
      </w:r>
      <w:r w:rsidR="00582371">
        <w:rPr>
          <w:rFonts w:asciiTheme="minorHAnsi" w:hAnsiTheme="minorHAnsi" w:cstheme="minorHAnsi"/>
          <w:color w:val="000000"/>
          <w:sz w:val="21"/>
          <w:szCs w:val="21"/>
        </w:rPr>
        <w:t xml:space="preserve">Primary </w:t>
      </w:r>
      <w:r w:rsidRPr="00353E62">
        <w:rPr>
          <w:rFonts w:asciiTheme="minorHAnsi" w:hAnsiTheme="minorHAnsi" w:cstheme="minorHAnsi"/>
          <w:color w:val="000000"/>
          <w:sz w:val="21"/>
          <w:szCs w:val="21"/>
        </w:rPr>
        <w:t>Transfers</w:t>
      </w:r>
      <w:r w:rsidRPr="00353E62">
        <w:rPr>
          <w:rFonts w:asciiTheme="minorHAnsi" w:hAnsiTheme="minorHAnsi" w:cstheme="minorHAnsi"/>
          <w:color w:val="000000"/>
          <w:sz w:val="21"/>
          <w:szCs w:val="21"/>
        </w:rPr>
        <w:br/>
      </w:r>
      <w:r w:rsidRPr="00353E62">
        <w:rPr>
          <w:rStyle w:val="Strong"/>
          <w:rFonts w:asciiTheme="minorHAnsi" w:hAnsiTheme="minorHAnsi" w:cstheme="minorHAnsi"/>
          <w:color w:val="000000"/>
          <w:sz w:val="21"/>
          <w:szCs w:val="21"/>
        </w:rPr>
        <w:t>Phone</w:t>
      </w:r>
      <w:r w:rsidRPr="00353E62">
        <w:rPr>
          <w:rFonts w:asciiTheme="minorHAnsi" w:hAnsiTheme="minorHAnsi" w:cstheme="minorHAnsi"/>
          <w:color w:val="000000"/>
          <w:sz w:val="21"/>
          <w:szCs w:val="21"/>
        </w:rPr>
        <w:t>: 01642 201890</w:t>
      </w:r>
    </w:p>
    <w:p w14:paraId="2CBC2AC1" w14:textId="49B34C62" w:rsidR="004F2F04" w:rsidRPr="004F2F04" w:rsidRDefault="00582371" w:rsidP="00353E62">
      <w:pPr>
        <w:pStyle w:val="NormalWeb"/>
        <w:spacing w:before="0" w:beforeAutospacing="0" w:after="150" w:afterAutospacing="0"/>
        <w:rPr>
          <w:rFonts w:asciiTheme="minorHAnsi" w:hAnsiTheme="minorHAnsi" w:cstheme="minorHAnsi"/>
          <w:b/>
          <w:bCs/>
          <w:color w:val="000000"/>
          <w:sz w:val="21"/>
          <w:szCs w:val="21"/>
        </w:rPr>
      </w:pPr>
      <w:r>
        <w:rPr>
          <w:rStyle w:val="Strong"/>
          <w:rFonts w:asciiTheme="minorHAnsi" w:hAnsiTheme="minorHAnsi" w:cstheme="minorHAnsi"/>
          <w:color w:val="000000"/>
          <w:sz w:val="21"/>
          <w:szCs w:val="21"/>
        </w:rPr>
        <w:t>Kathryn Newman</w:t>
      </w:r>
      <w:r w:rsidR="004F2F04">
        <w:rPr>
          <w:rStyle w:val="Strong"/>
          <w:rFonts w:asciiTheme="minorHAnsi" w:hAnsiTheme="minorHAnsi" w:cstheme="minorHAnsi"/>
          <w:color w:val="000000"/>
          <w:sz w:val="21"/>
          <w:szCs w:val="21"/>
        </w:rPr>
        <w:br/>
      </w:r>
      <w:r>
        <w:rPr>
          <w:rStyle w:val="Strong"/>
          <w:rFonts w:asciiTheme="minorHAnsi" w:hAnsiTheme="minorHAnsi" w:cstheme="minorHAnsi"/>
          <w:b w:val="0"/>
          <w:color w:val="000000"/>
          <w:sz w:val="21"/>
          <w:szCs w:val="21"/>
        </w:rPr>
        <w:t xml:space="preserve">Assistant </w:t>
      </w:r>
      <w:r w:rsidR="004F2F04" w:rsidRPr="004F2F04">
        <w:rPr>
          <w:rStyle w:val="Strong"/>
          <w:rFonts w:asciiTheme="minorHAnsi" w:hAnsiTheme="minorHAnsi" w:cstheme="minorHAnsi"/>
          <w:b w:val="0"/>
          <w:color w:val="000000"/>
          <w:sz w:val="21"/>
          <w:szCs w:val="21"/>
        </w:rPr>
        <w:t>Admissions Officer</w:t>
      </w:r>
      <w:r w:rsidR="004F2F04">
        <w:rPr>
          <w:rStyle w:val="Strong"/>
          <w:rFonts w:asciiTheme="minorHAnsi" w:hAnsiTheme="minorHAnsi" w:cstheme="minorHAnsi"/>
          <w:b w:val="0"/>
          <w:color w:val="000000"/>
          <w:sz w:val="21"/>
          <w:szCs w:val="21"/>
        </w:rPr>
        <w:br/>
      </w:r>
      <w:r w:rsidR="004F2F04" w:rsidRPr="004F2F04">
        <w:rPr>
          <w:rStyle w:val="Strong"/>
          <w:rFonts w:asciiTheme="minorHAnsi" w:hAnsiTheme="minorHAnsi" w:cstheme="minorHAnsi"/>
          <w:color w:val="000000"/>
          <w:sz w:val="21"/>
          <w:szCs w:val="21"/>
        </w:rPr>
        <w:t>Phone</w:t>
      </w:r>
      <w:r w:rsidR="004F2F04" w:rsidRPr="004F2F04">
        <w:rPr>
          <w:rStyle w:val="Strong"/>
          <w:rFonts w:asciiTheme="minorHAnsi" w:hAnsiTheme="minorHAnsi" w:cstheme="minorHAnsi"/>
          <w:b w:val="0"/>
          <w:color w:val="000000"/>
          <w:sz w:val="21"/>
          <w:szCs w:val="21"/>
        </w:rPr>
        <w:t>:</w:t>
      </w:r>
      <w:r w:rsidR="004F2F04">
        <w:rPr>
          <w:rStyle w:val="Strong"/>
          <w:rFonts w:asciiTheme="minorHAnsi" w:hAnsiTheme="minorHAnsi" w:cstheme="minorHAnsi"/>
          <w:b w:val="0"/>
          <w:color w:val="000000"/>
          <w:sz w:val="21"/>
          <w:szCs w:val="21"/>
        </w:rPr>
        <w:t xml:space="preserve"> 01642 729544 </w:t>
      </w:r>
    </w:p>
    <w:p w14:paraId="1C9CFCA4" w14:textId="47C2F059" w:rsidR="00353E62" w:rsidRDefault="00353E62" w:rsidP="00353E62">
      <w:pPr>
        <w:pStyle w:val="NormalWeb"/>
        <w:spacing w:before="0" w:beforeAutospacing="0" w:after="150" w:afterAutospacing="0"/>
        <w:rPr>
          <w:rFonts w:asciiTheme="minorHAnsi" w:hAnsiTheme="minorHAnsi" w:cstheme="minorHAnsi"/>
          <w:color w:val="000000"/>
          <w:sz w:val="21"/>
          <w:szCs w:val="21"/>
        </w:rPr>
      </w:pPr>
      <w:r w:rsidRPr="00353E62">
        <w:rPr>
          <w:rFonts w:asciiTheme="minorHAnsi" w:hAnsiTheme="minorHAnsi" w:cstheme="minorHAnsi"/>
          <w:b/>
          <w:color w:val="000000"/>
          <w:sz w:val="21"/>
          <w:szCs w:val="21"/>
        </w:rPr>
        <w:t>Website:</w:t>
      </w:r>
      <w:r>
        <w:rPr>
          <w:rFonts w:asciiTheme="minorHAnsi" w:hAnsiTheme="minorHAnsi" w:cstheme="minorHAnsi"/>
          <w:color w:val="000000"/>
          <w:sz w:val="21"/>
          <w:szCs w:val="21"/>
        </w:rPr>
        <w:t xml:space="preserve"> </w:t>
      </w:r>
      <w:hyperlink r:id="rId18" w:history="1">
        <w:r w:rsidRPr="003B320A">
          <w:rPr>
            <w:rStyle w:val="Hyperlink"/>
            <w:rFonts w:asciiTheme="minorHAnsi" w:hAnsiTheme="minorHAnsi" w:cstheme="minorHAnsi"/>
            <w:sz w:val="21"/>
            <w:szCs w:val="21"/>
          </w:rPr>
          <w:t>https://middlesbrough.gov.uk/schools-and-education/school-admissions/primary-school-admissions</w:t>
        </w:r>
      </w:hyperlink>
      <w:r>
        <w:rPr>
          <w:rFonts w:asciiTheme="minorHAnsi" w:hAnsiTheme="minorHAnsi" w:cstheme="minorHAnsi"/>
          <w:color w:val="000000"/>
          <w:sz w:val="21"/>
          <w:szCs w:val="21"/>
        </w:rPr>
        <w:t xml:space="preserve"> </w:t>
      </w:r>
    </w:p>
    <w:p w14:paraId="1C8B6DA9" w14:textId="163BD974" w:rsidR="00353E62" w:rsidRDefault="00353E62" w:rsidP="00353E62">
      <w:pPr>
        <w:pStyle w:val="NormalWeb"/>
        <w:spacing w:before="0" w:beforeAutospacing="0" w:after="150" w:afterAutospacing="0"/>
        <w:rPr>
          <w:rFonts w:asciiTheme="minorHAnsi" w:hAnsiTheme="minorHAnsi" w:cstheme="minorHAnsi"/>
          <w:color w:val="000000"/>
          <w:sz w:val="21"/>
          <w:szCs w:val="21"/>
        </w:rPr>
      </w:pPr>
      <w:r>
        <w:rPr>
          <w:rFonts w:asciiTheme="minorHAnsi" w:hAnsiTheme="minorHAnsi" w:cstheme="minorHAnsi"/>
          <w:color w:val="000000"/>
          <w:sz w:val="21"/>
          <w:szCs w:val="21"/>
        </w:rPr>
        <w:t>or you may contact the academy directly:</w:t>
      </w:r>
    </w:p>
    <w:p w14:paraId="43790862" w14:textId="7697B8EF" w:rsidR="00C00211" w:rsidRPr="0029398B" w:rsidRDefault="00C00211" w:rsidP="006C27B0">
      <w:pPr>
        <w:pStyle w:val="NormalWeb"/>
        <w:spacing w:before="0" w:beforeAutospacing="0" w:after="150" w:afterAutospacing="0"/>
        <w:rPr>
          <w:rFonts w:asciiTheme="minorHAnsi" w:hAnsiTheme="minorHAnsi" w:cstheme="minorHAnsi"/>
          <w:color w:val="000000"/>
          <w:sz w:val="21"/>
          <w:szCs w:val="21"/>
        </w:rPr>
      </w:pPr>
      <w:r w:rsidRPr="0029398B">
        <w:rPr>
          <w:rFonts w:asciiTheme="minorHAnsi" w:hAnsiTheme="minorHAnsi" w:cstheme="minorHAnsi"/>
          <w:color w:val="000000"/>
          <w:sz w:val="21"/>
          <w:szCs w:val="21"/>
        </w:rPr>
        <w:t xml:space="preserve">Email: </w:t>
      </w:r>
      <w:hyperlink r:id="rId19" w:history="1">
        <w:r w:rsidRPr="0029398B">
          <w:rPr>
            <w:rStyle w:val="Hyperlink"/>
            <w:rFonts w:asciiTheme="minorHAnsi" w:hAnsiTheme="minorHAnsi" w:cstheme="minorHAnsi"/>
            <w:sz w:val="21"/>
            <w:szCs w:val="21"/>
          </w:rPr>
          <w:t>brambles@tved.org.uk</w:t>
        </w:r>
      </w:hyperlink>
    </w:p>
    <w:p w14:paraId="5CAED5BF" w14:textId="41DF8822" w:rsidR="00353E62" w:rsidRPr="006C27B0" w:rsidRDefault="00C00211" w:rsidP="006C27B0">
      <w:pPr>
        <w:pStyle w:val="NormalWeb"/>
        <w:spacing w:before="0" w:beforeAutospacing="0" w:after="150" w:afterAutospacing="0"/>
        <w:rPr>
          <w:rFonts w:asciiTheme="minorHAnsi" w:hAnsiTheme="minorHAnsi" w:cstheme="minorHAnsi"/>
          <w:color w:val="000000"/>
          <w:sz w:val="21"/>
          <w:szCs w:val="21"/>
        </w:rPr>
      </w:pPr>
      <w:r w:rsidRPr="0029398B">
        <w:rPr>
          <w:rFonts w:asciiTheme="minorHAnsi" w:hAnsiTheme="minorHAnsi" w:cstheme="minorHAnsi"/>
          <w:color w:val="000000"/>
          <w:sz w:val="21"/>
          <w:szCs w:val="21"/>
        </w:rPr>
        <w:t>Tel: 01642 210704</w:t>
      </w:r>
    </w:p>
    <w:sectPr w:rsidR="00353E62" w:rsidRPr="006C27B0" w:rsidSect="002E6161">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34DB" w14:textId="77777777" w:rsidR="006F5F6E" w:rsidRDefault="006F5F6E" w:rsidP="001F63BA">
      <w:pPr>
        <w:spacing w:before="0" w:after="0" w:line="240" w:lineRule="auto"/>
      </w:pPr>
      <w:r>
        <w:separator/>
      </w:r>
    </w:p>
  </w:endnote>
  <w:endnote w:type="continuationSeparator" w:id="0">
    <w:p w14:paraId="0B010FB0" w14:textId="77777777" w:rsidR="006F5F6E" w:rsidRDefault="006F5F6E" w:rsidP="001F63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11249"/>
      <w:docPartObj>
        <w:docPartGallery w:val="Page Numbers (Bottom of Page)"/>
        <w:docPartUnique/>
      </w:docPartObj>
    </w:sdtPr>
    <w:sdtEndPr>
      <w:rPr>
        <w:noProof/>
      </w:rPr>
    </w:sdtEndPr>
    <w:sdtContent>
      <w:p w14:paraId="5B34D1A7" w14:textId="404F76E4" w:rsidR="006A2DB0" w:rsidRDefault="006A2DB0">
        <w:pPr>
          <w:pStyle w:val="Footer"/>
          <w:jc w:val="right"/>
        </w:pPr>
        <w:r>
          <w:fldChar w:fldCharType="begin"/>
        </w:r>
        <w:r>
          <w:instrText xml:space="preserve"> PAGE   \* MERGEFORMAT </w:instrText>
        </w:r>
        <w:r>
          <w:fldChar w:fldCharType="separate"/>
        </w:r>
        <w:r w:rsidR="0029398B">
          <w:rPr>
            <w:noProof/>
          </w:rPr>
          <w:t>7</w:t>
        </w:r>
        <w:r>
          <w:rPr>
            <w:noProof/>
          </w:rPr>
          <w:fldChar w:fldCharType="end"/>
        </w:r>
      </w:p>
    </w:sdtContent>
  </w:sdt>
  <w:p w14:paraId="5FFA91EB" w14:textId="77777777" w:rsidR="006A2DB0" w:rsidRDefault="006A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1A9E" w14:textId="77777777" w:rsidR="006F5F6E" w:rsidRDefault="006F5F6E" w:rsidP="001F63BA">
      <w:pPr>
        <w:spacing w:before="0" w:after="0" w:line="240" w:lineRule="auto"/>
      </w:pPr>
      <w:r>
        <w:separator/>
      </w:r>
    </w:p>
  </w:footnote>
  <w:footnote w:type="continuationSeparator" w:id="0">
    <w:p w14:paraId="11B79EAE" w14:textId="77777777" w:rsidR="006F5F6E" w:rsidRDefault="006F5F6E" w:rsidP="001F63B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130"/>
    <w:multiLevelType w:val="hybridMultilevel"/>
    <w:tmpl w:val="FCEE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37325"/>
    <w:multiLevelType w:val="hybridMultilevel"/>
    <w:tmpl w:val="67DE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B62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9816E4"/>
    <w:multiLevelType w:val="hybridMultilevel"/>
    <w:tmpl w:val="A992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41C9D"/>
    <w:multiLevelType w:val="hybridMultilevel"/>
    <w:tmpl w:val="C7CA4B54"/>
    <w:lvl w:ilvl="0" w:tplc="7EEC8F28">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D2617"/>
    <w:multiLevelType w:val="multilevel"/>
    <w:tmpl w:val="E520A13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7266FC3"/>
    <w:multiLevelType w:val="hybridMultilevel"/>
    <w:tmpl w:val="90CC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8220B"/>
    <w:multiLevelType w:val="hybridMultilevel"/>
    <w:tmpl w:val="8858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F620B"/>
    <w:multiLevelType w:val="hybridMultilevel"/>
    <w:tmpl w:val="03F2B6EC"/>
    <w:lvl w:ilvl="0" w:tplc="FB745184">
      <w:start w:val="1"/>
      <w:numFmt w:val="decimal"/>
      <w:pStyle w:val="Heading1"/>
      <w:lvlText w:val="%1."/>
      <w:lvlJc w:val="left"/>
      <w:pPr>
        <w:ind w:left="720" w:hanging="360"/>
      </w:pPr>
    </w:lvl>
    <w:lvl w:ilvl="1" w:tplc="C156B6BC">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8"/>
  </w:num>
  <w:num w:numId="5">
    <w:abstractNumId w:val="3"/>
  </w:num>
  <w:num w:numId="6">
    <w:abstractNumId w:val="7"/>
  </w:num>
  <w:num w:numId="7">
    <w:abstractNumId w:val="1"/>
  </w:num>
  <w:num w:numId="8">
    <w:abstractNumId w:val="6"/>
  </w:num>
  <w:num w:numId="9">
    <w:abstractNumId w:val="2"/>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63"/>
    <w:rsid w:val="00002676"/>
    <w:rsid w:val="00030D8B"/>
    <w:rsid w:val="00036D5C"/>
    <w:rsid w:val="00042598"/>
    <w:rsid w:val="00074E71"/>
    <w:rsid w:val="00085D4F"/>
    <w:rsid w:val="00095B52"/>
    <w:rsid w:val="000B01F7"/>
    <w:rsid w:val="000B20F9"/>
    <w:rsid w:val="000B284B"/>
    <w:rsid w:val="000B2D9E"/>
    <w:rsid w:val="000B3F0F"/>
    <w:rsid w:val="000C396E"/>
    <w:rsid w:val="000C396F"/>
    <w:rsid w:val="000F2A7A"/>
    <w:rsid w:val="001163EE"/>
    <w:rsid w:val="00124E8C"/>
    <w:rsid w:val="00130DC0"/>
    <w:rsid w:val="00130E79"/>
    <w:rsid w:val="00134DBC"/>
    <w:rsid w:val="00137D16"/>
    <w:rsid w:val="00145EAA"/>
    <w:rsid w:val="00146E36"/>
    <w:rsid w:val="00156AD6"/>
    <w:rsid w:val="00160D40"/>
    <w:rsid w:val="00161C04"/>
    <w:rsid w:val="00172CE7"/>
    <w:rsid w:val="0017793C"/>
    <w:rsid w:val="00191283"/>
    <w:rsid w:val="001B035C"/>
    <w:rsid w:val="001B7E7E"/>
    <w:rsid w:val="001C07C6"/>
    <w:rsid w:val="001C512F"/>
    <w:rsid w:val="001C6D7F"/>
    <w:rsid w:val="001E0ADE"/>
    <w:rsid w:val="001F63BA"/>
    <w:rsid w:val="001F72D4"/>
    <w:rsid w:val="00210B70"/>
    <w:rsid w:val="00216F91"/>
    <w:rsid w:val="0022169D"/>
    <w:rsid w:val="00262550"/>
    <w:rsid w:val="0027281D"/>
    <w:rsid w:val="00274A5E"/>
    <w:rsid w:val="00284049"/>
    <w:rsid w:val="002932D9"/>
    <w:rsid w:val="0029398B"/>
    <w:rsid w:val="002A0D61"/>
    <w:rsid w:val="002B39B7"/>
    <w:rsid w:val="002C0F82"/>
    <w:rsid w:val="002C1F28"/>
    <w:rsid w:val="002C476C"/>
    <w:rsid w:val="002C5D1A"/>
    <w:rsid w:val="002C60D2"/>
    <w:rsid w:val="002E040E"/>
    <w:rsid w:val="002E30EE"/>
    <w:rsid w:val="002E6161"/>
    <w:rsid w:val="002F6073"/>
    <w:rsid w:val="002F6412"/>
    <w:rsid w:val="002F668C"/>
    <w:rsid w:val="003075F0"/>
    <w:rsid w:val="00310108"/>
    <w:rsid w:val="00317B2B"/>
    <w:rsid w:val="00322F24"/>
    <w:rsid w:val="00324FA8"/>
    <w:rsid w:val="0033018F"/>
    <w:rsid w:val="003531A4"/>
    <w:rsid w:val="00353703"/>
    <w:rsid w:val="00353E62"/>
    <w:rsid w:val="003555EC"/>
    <w:rsid w:val="00361D7F"/>
    <w:rsid w:val="00374B57"/>
    <w:rsid w:val="003814AB"/>
    <w:rsid w:val="003847BA"/>
    <w:rsid w:val="003A77D5"/>
    <w:rsid w:val="003B3A71"/>
    <w:rsid w:val="003B5CB2"/>
    <w:rsid w:val="003B5CBD"/>
    <w:rsid w:val="003D0D4C"/>
    <w:rsid w:val="003D2569"/>
    <w:rsid w:val="00405B01"/>
    <w:rsid w:val="00407C24"/>
    <w:rsid w:val="0041571D"/>
    <w:rsid w:val="00420AAD"/>
    <w:rsid w:val="00427C47"/>
    <w:rsid w:val="004341F6"/>
    <w:rsid w:val="00435574"/>
    <w:rsid w:val="00445CC4"/>
    <w:rsid w:val="00454688"/>
    <w:rsid w:val="0045654D"/>
    <w:rsid w:val="00464AF0"/>
    <w:rsid w:val="00472FF5"/>
    <w:rsid w:val="00475D6D"/>
    <w:rsid w:val="004806ED"/>
    <w:rsid w:val="004812B3"/>
    <w:rsid w:val="00482E83"/>
    <w:rsid w:val="00496349"/>
    <w:rsid w:val="004A0AA1"/>
    <w:rsid w:val="004A5728"/>
    <w:rsid w:val="004B0A1E"/>
    <w:rsid w:val="004C0057"/>
    <w:rsid w:val="004C6BBF"/>
    <w:rsid w:val="004D3DF3"/>
    <w:rsid w:val="004E43F7"/>
    <w:rsid w:val="004E6C27"/>
    <w:rsid w:val="004F0631"/>
    <w:rsid w:val="004F2F04"/>
    <w:rsid w:val="005006DE"/>
    <w:rsid w:val="00542F3B"/>
    <w:rsid w:val="00552B63"/>
    <w:rsid w:val="005655B9"/>
    <w:rsid w:val="00582371"/>
    <w:rsid w:val="00586252"/>
    <w:rsid w:val="00591A11"/>
    <w:rsid w:val="005923D9"/>
    <w:rsid w:val="005A33EE"/>
    <w:rsid w:val="005A6DF9"/>
    <w:rsid w:val="005A7238"/>
    <w:rsid w:val="005A7D96"/>
    <w:rsid w:val="005C16D9"/>
    <w:rsid w:val="005C59AE"/>
    <w:rsid w:val="005D76BB"/>
    <w:rsid w:val="005E1EDC"/>
    <w:rsid w:val="006242D5"/>
    <w:rsid w:val="00630BA7"/>
    <w:rsid w:val="006346ED"/>
    <w:rsid w:val="00634FDB"/>
    <w:rsid w:val="00635F71"/>
    <w:rsid w:val="00654B06"/>
    <w:rsid w:val="00694596"/>
    <w:rsid w:val="006973DE"/>
    <w:rsid w:val="006A2DB0"/>
    <w:rsid w:val="006A4FE6"/>
    <w:rsid w:val="006A511A"/>
    <w:rsid w:val="006A7BE8"/>
    <w:rsid w:val="006B0219"/>
    <w:rsid w:val="006B0AC3"/>
    <w:rsid w:val="006C27B0"/>
    <w:rsid w:val="006D4FA1"/>
    <w:rsid w:val="006F5F6E"/>
    <w:rsid w:val="006F7144"/>
    <w:rsid w:val="00702553"/>
    <w:rsid w:val="00711F19"/>
    <w:rsid w:val="00736BCF"/>
    <w:rsid w:val="00747D95"/>
    <w:rsid w:val="00752BD3"/>
    <w:rsid w:val="0075398D"/>
    <w:rsid w:val="00763DEC"/>
    <w:rsid w:val="00767821"/>
    <w:rsid w:val="007718E3"/>
    <w:rsid w:val="007804A4"/>
    <w:rsid w:val="007818C7"/>
    <w:rsid w:val="00784F50"/>
    <w:rsid w:val="007B2C0D"/>
    <w:rsid w:val="007C0E5A"/>
    <w:rsid w:val="007C1547"/>
    <w:rsid w:val="007D32A0"/>
    <w:rsid w:val="007D489C"/>
    <w:rsid w:val="007D69AB"/>
    <w:rsid w:val="007D74B7"/>
    <w:rsid w:val="007E38FE"/>
    <w:rsid w:val="007F1071"/>
    <w:rsid w:val="007F7E4C"/>
    <w:rsid w:val="0080392A"/>
    <w:rsid w:val="008231CD"/>
    <w:rsid w:val="00831CBA"/>
    <w:rsid w:val="00833D8C"/>
    <w:rsid w:val="008344F9"/>
    <w:rsid w:val="00842594"/>
    <w:rsid w:val="008765B4"/>
    <w:rsid w:val="00884232"/>
    <w:rsid w:val="008A5DFD"/>
    <w:rsid w:val="008B3A6B"/>
    <w:rsid w:val="008B7829"/>
    <w:rsid w:val="008C1693"/>
    <w:rsid w:val="008D6E55"/>
    <w:rsid w:val="008E2402"/>
    <w:rsid w:val="008F04E8"/>
    <w:rsid w:val="008F30FE"/>
    <w:rsid w:val="008F4496"/>
    <w:rsid w:val="008F55E6"/>
    <w:rsid w:val="00912207"/>
    <w:rsid w:val="00914C94"/>
    <w:rsid w:val="0091605C"/>
    <w:rsid w:val="00921824"/>
    <w:rsid w:val="0095268D"/>
    <w:rsid w:val="00966F4A"/>
    <w:rsid w:val="00992F45"/>
    <w:rsid w:val="009A3E42"/>
    <w:rsid w:val="009A7CAE"/>
    <w:rsid w:val="009B7708"/>
    <w:rsid w:val="009C2DF6"/>
    <w:rsid w:val="009C54BF"/>
    <w:rsid w:val="009C7F0B"/>
    <w:rsid w:val="009D36A3"/>
    <w:rsid w:val="009D3991"/>
    <w:rsid w:val="009F71B4"/>
    <w:rsid w:val="009F75D4"/>
    <w:rsid w:val="00A1371B"/>
    <w:rsid w:val="00A23852"/>
    <w:rsid w:val="00A42D8C"/>
    <w:rsid w:val="00A558C6"/>
    <w:rsid w:val="00A6276D"/>
    <w:rsid w:val="00A8124A"/>
    <w:rsid w:val="00A82969"/>
    <w:rsid w:val="00A864D5"/>
    <w:rsid w:val="00A90747"/>
    <w:rsid w:val="00AA11B9"/>
    <w:rsid w:val="00AA5E2E"/>
    <w:rsid w:val="00AB5042"/>
    <w:rsid w:val="00AB7BEF"/>
    <w:rsid w:val="00AC63F1"/>
    <w:rsid w:val="00AD2EBF"/>
    <w:rsid w:val="00AD7B3F"/>
    <w:rsid w:val="00AE4F36"/>
    <w:rsid w:val="00AF0543"/>
    <w:rsid w:val="00B12F1A"/>
    <w:rsid w:val="00B14496"/>
    <w:rsid w:val="00B21ECE"/>
    <w:rsid w:val="00B2631B"/>
    <w:rsid w:val="00B27223"/>
    <w:rsid w:val="00B27263"/>
    <w:rsid w:val="00B273BC"/>
    <w:rsid w:val="00B41088"/>
    <w:rsid w:val="00B44167"/>
    <w:rsid w:val="00B4600C"/>
    <w:rsid w:val="00B71781"/>
    <w:rsid w:val="00B736FC"/>
    <w:rsid w:val="00B843AC"/>
    <w:rsid w:val="00B93266"/>
    <w:rsid w:val="00B94CFD"/>
    <w:rsid w:val="00BA0710"/>
    <w:rsid w:val="00BA09B4"/>
    <w:rsid w:val="00BB6DDE"/>
    <w:rsid w:val="00BC17D1"/>
    <w:rsid w:val="00BC35E1"/>
    <w:rsid w:val="00BC548D"/>
    <w:rsid w:val="00BD2FED"/>
    <w:rsid w:val="00BD5934"/>
    <w:rsid w:val="00BE202D"/>
    <w:rsid w:val="00BF40FD"/>
    <w:rsid w:val="00C00211"/>
    <w:rsid w:val="00C0486F"/>
    <w:rsid w:val="00C07D04"/>
    <w:rsid w:val="00C51574"/>
    <w:rsid w:val="00C51B45"/>
    <w:rsid w:val="00C60EAD"/>
    <w:rsid w:val="00C94641"/>
    <w:rsid w:val="00CA3B53"/>
    <w:rsid w:val="00CA5390"/>
    <w:rsid w:val="00CD6980"/>
    <w:rsid w:val="00CD77F8"/>
    <w:rsid w:val="00CE512F"/>
    <w:rsid w:val="00D10F27"/>
    <w:rsid w:val="00D17568"/>
    <w:rsid w:val="00D266E0"/>
    <w:rsid w:val="00D26DFE"/>
    <w:rsid w:val="00D316B1"/>
    <w:rsid w:val="00D33E7B"/>
    <w:rsid w:val="00D41F9A"/>
    <w:rsid w:val="00D63BE1"/>
    <w:rsid w:val="00D70008"/>
    <w:rsid w:val="00D75584"/>
    <w:rsid w:val="00D77D35"/>
    <w:rsid w:val="00D85764"/>
    <w:rsid w:val="00D932E3"/>
    <w:rsid w:val="00D96C5D"/>
    <w:rsid w:val="00D97682"/>
    <w:rsid w:val="00DA0468"/>
    <w:rsid w:val="00DA5DBA"/>
    <w:rsid w:val="00DA6AE9"/>
    <w:rsid w:val="00DB7492"/>
    <w:rsid w:val="00DD5147"/>
    <w:rsid w:val="00DD5C0A"/>
    <w:rsid w:val="00DE2E63"/>
    <w:rsid w:val="00DE56B6"/>
    <w:rsid w:val="00E16EEE"/>
    <w:rsid w:val="00E311F9"/>
    <w:rsid w:val="00E43E48"/>
    <w:rsid w:val="00E55DEA"/>
    <w:rsid w:val="00E64F0D"/>
    <w:rsid w:val="00E7409F"/>
    <w:rsid w:val="00E860EC"/>
    <w:rsid w:val="00E91335"/>
    <w:rsid w:val="00EA1FFA"/>
    <w:rsid w:val="00EA6362"/>
    <w:rsid w:val="00EB2CD5"/>
    <w:rsid w:val="00EC0E1D"/>
    <w:rsid w:val="00EC5254"/>
    <w:rsid w:val="00ED78BA"/>
    <w:rsid w:val="00EE429D"/>
    <w:rsid w:val="00EE70E6"/>
    <w:rsid w:val="00EF404D"/>
    <w:rsid w:val="00EF4AF5"/>
    <w:rsid w:val="00EF5F4D"/>
    <w:rsid w:val="00EF659B"/>
    <w:rsid w:val="00F04E32"/>
    <w:rsid w:val="00F117B4"/>
    <w:rsid w:val="00F20CDF"/>
    <w:rsid w:val="00F248B3"/>
    <w:rsid w:val="00F3358E"/>
    <w:rsid w:val="00F408E0"/>
    <w:rsid w:val="00F4320B"/>
    <w:rsid w:val="00F56288"/>
    <w:rsid w:val="00F6774D"/>
    <w:rsid w:val="00F73D90"/>
    <w:rsid w:val="00FA398F"/>
    <w:rsid w:val="00FA66A6"/>
    <w:rsid w:val="00FF02DA"/>
    <w:rsid w:val="00FF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5A73E7B3"/>
  <w15:docId w15:val="{36A44804-46E1-46B8-9A7F-CE6BC062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EE"/>
    <w:pPr>
      <w:spacing w:before="120" w:after="120"/>
      <w:jc w:val="both"/>
    </w:pPr>
    <w:rPr>
      <w:sz w:val="24"/>
      <w:szCs w:val="24"/>
    </w:rPr>
  </w:style>
  <w:style w:type="paragraph" w:styleId="Heading1">
    <w:name w:val="heading 1"/>
    <w:basedOn w:val="Normal"/>
    <w:next w:val="Normal"/>
    <w:link w:val="Heading1Char"/>
    <w:autoRedefine/>
    <w:uiPriority w:val="9"/>
    <w:qFormat/>
    <w:rsid w:val="00145EAA"/>
    <w:pPr>
      <w:keepNext/>
      <w:keepLines/>
      <w:numPr>
        <w:numId w:val="4"/>
      </w:numPr>
      <w:ind w:left="357" w:hanging="357"/>
      <w:jc w:val="left"/>
      <w:outlineLvl w:val="0"/>
    </w:pPr>
    <w:rPr>
      <w:b/>
      <w:sz w:val="28"/>
      <w:szCs w:val="28"/>
    </w:rPr>
  </w:style>
  <w:style w:type="paragraph" w:styleId="Heading2">
    <w:name w:val="heading 2"/>
    <w:basedOn w:val="Normal"/>
    <w:next w:val="Normal"/>
    <w:link w:val="Heading2Char"/>
    <w:uiPriority w:val="9"/>
    <w:unhideWhenUsed/>
    <w:qFormat/>
    <w:rsid w:val="009D36A3"/>
    <w:pPr>
      <w:numPr>
        <w:ilvl w:val="1"/>
        <w:numId w:val="1"/>
      </w:numPr>
      <w:outlineLvl w:val="1"/>
    </w:pPr>
    <w:rPr>
      <w:rFonts w:eastAsiaTheme="majorEastAsia" w:cstheme="majorBidi"/>
      <w:b/>
    </w:rPr>
  </w:style>
  <w:style w:type="paragraph" w:styleId="Heading3">
    <w:name w:val="heading 3"/>
    <w:basedOn w:val="Normal"/>
    <w:next w:val="Normal"/>
    <w:link w:val="Heading3Char"/>
    <w:uiPriority w:val="9"/>
    <w:unhideWhenUsed/>
    <w:qFormat/>
    <w:rsid w:val="00074E71"/>
    <w:pPr>
      <w:keepNext/>
      <w:keepLines/>
      <w:numPr>
        <w:ilvl w:val="2"/>
        <w:numId w:val="1"/>
      </w:numPr>
      <w:spacing w:before="60" w:after="60"/>
      <w:outlineLvl w:val="2"/>
    </w:pPr>
    <w:rPr>
      <w:rFonts w:eastAsiaTheme="majorEastAsia" w:cstheme="majorBidi"/>
    </w:rPr>
  </w:style>
  <w:style w:type="paragraph" w:styleId="Heading4">
    <w:name w:val="heading 4"/>
    <w:basedOn w:val="Normal"/>
    <w:next w:val="Normal"/>
    <w:link w:val="Heading4Char"/>
    <w:uiPriority w:val="9"/>
    <w:unhideWhenUsed/>
    <w:qFormat/>
    <w:rsid w:val="0004259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4259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259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4259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4259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259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263"/>
    <w:pPr>
      <w:spacing w:after="0" w:line="240" w:lineRule="auto"/>
    </w:pPr>
  </w:style>
  <w:style w:type="character" w:customStyle="1" w:styleId="Heading1Char">
    <w:name w:val="Heading 1 Char"/>
    <w:basedOn w:val="DefaultParagraphFont"/>
    <w:link w:val="Heading1"/>
    <w:uiPriority w:val="9"/>
    <w:rsid w:val="00145EAA"/>
    <w:rPr>
      <w:b/>
      <w:sz w:val="28"/>
      <w:szCs w:val="28"/>
    </w:rPr>
  </w:style>
  <w:style w:type="paragraph" w:styleId="ListParagraph">
    <w:name w:val="List Paragraph"/>
    <w:basedOn w:val="Normal"/>
    <w:uiPriority w:val="34"/>
    <w:qFormat/>
    <w:rsid w:val="00D70008"/>
    <w:pPr>
      <w:ind w:left="720"/>
      <w:contextualSpacing/>
    </w:pPr>
  </w:style>
  <w:style w:type="character" w:customStyle="1" w:styleId="Heading2Char">
    <w:name w:val="Heading 2 Char"/>
    <w:basedOn w:val="DefaultParagraphFont"/>
    <w:link w:val="Heading2"/>
    <w:uiPriority w:val="9"/>
    <w:rsid w:val="009D36A3"/>
    <w:rPr>
      <w:rFonts w:eastAsiaTheme="majorEastAsia" w:cstheme="majorBidi"/>
      <w:b/>
      <w:sz w:val="24"/>
      <w:szCs w:val="24"/>
    </w:rPr>
  </w:style>
  <w:style w:type="character" w:customStyle="1" w:styleId="Heading3Char">
    <w:name w:val="Heading 3 Char"/>
    <w:basedOn w:val="DefaultParagraphFont"/>
    <w:link w:val="Heading3"/>
    <w:uiPriority w:val="9"/>
    <w:rsid w:val="00074E71"/>
    <w:rPr>
      <w:rFonts w:eastAsiaTheme="majorEastAsia" w:cstheme="majorBidi"/>
      <w:sz w:val="24"/>
      <w:szCs w:val="24"/>
    </w:rPr>
  </w:style>
  <w:style w:type="character" w:customStyle="1" w:styleId="Heading4Char">
    <w:name w:val="Heading 4 Char"/>
    <w:basedOn w:val="DefaultParagraphFont"/>
    <w:link w:val="Heading4"/>
    <w:uiPriority w:val="9"/>
    <w:rsid w:val="00042598"/>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42598"/>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4259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42598"/>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425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2598"/>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qFormat/>
    <w:rsid w:val="00042598"/>
    <w:pPr>
      <w:ind w:left="0" w:firstLine="0"/>
    </w:pPr>
    <w:rPr>
      <w:b w:val="0"/>
    </w:rPr>
  </w:style>
  <w:style w:type="paragraph" w:styleId="Header">
    <w:name w:val="header"/>
    <w:basedOn w:val="Normal"/>
    <w:link w:val="HeaderChar"/>
    <w:uiPriority w:val="99"/>
    <w:unhideWhenUsed/>
    <w:rsid w:val="001F63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63BA"/>
    <w:rPr>
      <w:sz w:val="24"/>
      <w:szCs w:val="24"/>
    </w:rPr>
  </w:style>
  <w:style w:type="paragraph" w:styleId="Footer">
    <w:name w:val="footer"/>
    <w:basedOn w:val="Normal"/>
    <w:link w:val="FooterChar"/>
    <w:uiPriority w:val="99"/>
    <w:unhideWhenUsed/>
    <w:rsid w:val="001F63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63BA"/>
    <w:rPr>
      <w:sz w:val="24"/>
      <w:szCs w:val="24"/>
    </w:rPr>
  </w:style>
  <w:style w:type="table" w:styleId="TableGrid">
    <w:name w:val="Table Grid"/>
    <w:basedOn w:val="TableNormal"/>
    <w:uiPriority w:val="39"/>
    <w:rsid w:val="001C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2D4"/>
    <w:rPr>
      <w:sz w:val="16"/>
      <w:szCs w:val="16"/>
    </w:rPr>
  </w:style>
  <w:style w:type="paragraph" w:styleId="CommentText">
    <w:name w:val="annotation text"/>
    <w:basedOn w:val="Normal"/>
    <w:link w:val="CommentTextChar"/>
    <w:uiPriority w:val="99"/>
    <w:semiHidden/>
    <w:unhideWhenUsed/>
    <w:rsid w:val="001F72D4"/>
    <w:pPr>
      <w:spacing w:line="240" w:lineRule="auto"/>
    </w:pPr>
    <w:rPr>
      <w:sz w:val="20"/>
      <w:szCs w:val="20"/>
    </w:rPr>
  </w:style>
  <w:style w:type="character" w:customStyle="1" w:styleId="CommentTextChar">
    <w:name w:val="Comment Text Char"/>
    <w:basedOn w:val="DefaultParagraphFont"/>
    <w:link w:val="CommentText"/>
    <w:uiPriority w:val="99"/>
    <w:semiHidden/>
    <w:rsid w:val="001F72D4"/>
    <w:rPr>
      <w:sz w:val="20"/>
      <w:szCs w:val="20"/>
    </w:rPr>
  </w:style>
  <w:style w:type="paragraph" w:styleId="CommentSubject">
    <w:name w:val="annotation subject"/>
    <w:basedOn w:val="CommentText"/>
    <w:next w:val="CommentText"/>
    <w:link w:val="CommentSubjectChar"/>
    <w:uiPriority w:val="99"/>
    <w:semiHidden/>
    <w:unhideWhenUsed/>
    <w:rsid w:val="001F72D4"/>
    <w:rPr>
      <w:b/>
      <w:bCs/>
    </w:rPr>
  </w:style>
  <w:style w:type="character" w:customStyle="1" w:styleId="CommentSubjectChar">
    <w:name w:val="Comment Subject Char"/>
    <w:basedOn w:val="CommentTextChar"/>
    <w:link w:val="CommentSubject"/>
    <w:uiPriority w:val="99"/>
    <w:semiHidden/>
    <w:rsid w:val="001F72D4"/>
    <w:rPr>
      <w:b/>
      <w:bCs/>
      <w:sz w:val="20"/>
      <w:szCs w:val="20"/>
    </w:rPr>
  </w:style>
  <w:style w:type="paragraph" w:styleId="BalloonText">
    <w:name w:val="Balloon Text"/>
    <w:basedOn w:val="Normal"/>
    <w:link w:val="BalloonTextChar"/>
    <w:uiPriority w:val="99"/>
    <w:semiHidden/>
    <w:unhideWhenUsed/>
    <w:rsid w:val="001F72D4"/>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F72D4"/>
    <w:rPr>
      <w:rFonts w:ascii="Segoe UI" w:hAnsi="Segoe UI"/>
      <w:sz w:val="18"/>
      <w:szCs w:val="18"/>
    </w:rPr>
  </w:style>
  <w:style w:type="paragraph" w:styleId="TOCHeading">
    <w:name w:val="TOC Heading"/>
    <w:basedOn w:val="Heading1"/>
    <w:next w:val="Normal"/>
    <w:uiPriority w:val="39"/>
    <w:unhideWhenUsed/>
    <w:qFormat/>
    <w:rsid w:val="00EB2CD5"/>
    <w:pPr>
      <w:ind w:left="360" w:hanging="360"/>
      <w:outlineLvl w:val="9"/>
    </w:pPr>
    <w:rPr>
      <w:rFonts w:asciiTheme="majorHAnsi" w:eastAsiaTheme="majorEastAsia" w:hAnsiTheme="majorHAnsi" w:cstheme="majorBidi"/>
      <w:bCs/>
      <w:lang w:bidi="en-US"/>
    </w:rPr>
  </w:style>
  <w:style w:type="paragraph" w:styleId="TOC1">
    <w:name w:val="toc 1"/>
    <w:basedOn w:val="Normal"/>
    <w:next w:val="Normal"/>
    <w:autoRedefine/>
    <w:uiPriority w:val="39"/>
    <w:unhideWhenUsed/>
    <w:rsid w:val="006346ED"/>
    <w:pPr>
      <w:tabs>
        <w:tab w:val="left" w:pos="425"/>
        <w:tab w:val="right" w:leader="dot" w:pos="9639"/>
      </w:tabs>
      <w:spacing w:after="100"/>
    </w:pPr>
    <w:rPr>
      <w:caps/>
    </w:rPr>
  </w:style>
  <w:style w:type="paragraph" w:styleId="TOC2">
    <w:name w:val="toc 2"/>
    <w:basedOn w:val="Normal"/>
    <w:next w:val="Normal"/>
    <w:autoRedefine/>
    <w:uiPriority w:val="39"/>
    <w:unhideWhenUsed/>
    <w:rsid w:val="006346ED"/>
    <w:pPr>
      <w:tabs>
        <w:tab w:val="left" w:pos="425"/>
        <w:tab w:val="right" w:leader="dot" w:pos="9639"/>
      </w:tabs>
      <w:spacing w:before="0" w:after="100"/>
      <w:ind w:left="425"/>
    </w:pPr>
  </w:style>
  <w:style w:type="character" w:styleId="Hyperlink">
    <w:name w:val="Hyperlink"/>
    <w:basedOn w:val="DefaultParagraphFont"/>
    <w:uiPriority w:val="99"/>
    <w:unhideWhenUsed/>
    <w:rsid w:val="002E6161"/>
    <w:rPr>
      <w:color w:val="0000FF" w:themeColor="hyperlink"/>
      <w:u w:val="single"/>
    </w:rPr>
  </w:style>
  <w:style w:type="paragraph" w:styleId="NormalWeb">
    <w:name w:val="Normal (Web)"/>
    <w:basedOn w:val="Normal"/>
    <w:uiPriority w:val="99"/>
    <w:unhideWhenUsed/>
    <w:rsid w:val="00353E62"/>
    <w:pPr>
      <w:spacing w:before="100" w:beforeAutospacing="1" w:after="100" w:afterAutospacing="1" w:line="240" w:lineRule="auto"/>
      <w:jc w:val="left"/>
    </w:pPr>
    <w:rPr>
      <w:rFonts w:ascii="Times New Roman" w:eastAsia="Times New Roman" w:hAnsi="Times New Roman" w:cs="Times New Roman"/>
      <w:lang w:eastAsia="en-GB"/>
    </w:rPr>
  </w:style>
  <w:style w:type="character" w:styleId="Strong">
    <w:name w:val="Strong"/>
    <w:basedOn w:val="DefaultParagraphFont"/>
    <w:uiPriority w:val="22"/>
    <w:qFormat/>
    <w:rsid w:val="00353E62"/>
    <w:rPr>
      <w:b/>
      <w:bCs/>
    </w:rPr>
  </w:style>
  <w:style w:type="character" w:styleId="FollowedHyperlink">
    <w:name w:val="FollowedHyperlink"/>
    <w:basedOn w:val="DefaultParagraphFont"/>
    <w:uiPriority w:val="99"/>
    <w:semiHidden/>
    <w:unhideWhenUsed/>
    <w:rsid w:val="00EF4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1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ddlesbrough.gov.uk/schools-and-education/school-admissions/contact-school-admissions" TargetMode="External"/><Relationship Id="rId18" Type="http://schemas.openxmlformats.org/officeDocument/2006/relationships/hyperlink" Target="https://middlesbrough.gov.uk/schools-and-education/school-admissions/primary-school-admiss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sonline.middlesbrough.gov.uk/CitizenPortal_LIVE/Account/Login?ReturnUrl=%2fCitizenPortal_LIVE" TargetMode="External"/><Relationship Id="rId17" Type="http://schemas.openxmlformats.org/officeDocument/2006/relationships/hyperlink" Target="https://middlesbrough.gov.uk/schools-and-education/school-admissions/appeals-procedure" TargetMode="External"/><Relationship Id="rId2" Type="http://schemas.openxmlformats.org/officeDocument/2006/relationships/numbering" Target="numbering.xml"/><Relationship Id="rId16" Type="http://schemas.openxmlformats.org/officeDocument/2006/relationships/hyperlink" Target="https://middlesbrough.gov.uk/schools-and-education/school-admissions/contact-school-admiss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dlesbrough.gov.uk/schools-and-education/school-admissions/primary-school-admissions" TargetMode="External"/><Relationship Id="rId5" Type="http://schemas.openxmlformats.org/officeDocument/2006/relationships/webSettings" Target="webSettings.xml"/><Relationship Id="rId15" Type="http://schemas.openxmlformats.org/officeDocument/2006/relationships/hyperlink" Target="https://middlesbrough.gov.uk/schools-and-education/find-education-service/education-welfare-service" TargetMode="External"/><Relationship Id="rId10" Type="http://schemas.openxmlformats.org/officeDocument/2006/relationships/image" Target="media/image3.png"/><Relationship Id="rId19" Type="http://schemas.openxmlformats.org/officeDocument/2006/relationships/hyperlink" Target="mailto:brambles@tve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ddlesbrough.gov.uk/schools-and-education/access-education/children-missing-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58BC-018E-40E2-B81F-D94304A6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1981</Words>
  <Characters>11297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Loudon</dc:creator>
  <cp:lastModifiedBy>Ruth Hunter</cp:lastModifiedBy>
  <cp:revision>2</cp:revision>
  <cp:lastPrinted>2020-02-18T11:46:00Z</cp:lastPrinted>
  <dcterms:created xsi:type="dcterms:W3CDTF">2021-08-26T11:57:00Z</dcterms:created>
  <dcterms:modified xsi:type="dcterms:W3CDTF">2021-08-26T11:57:00Z</dcterms:modified>
</cp:coreProperties>
</file>